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178040" cy="2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214630</wp:posOffset>
            </wp:positionV>
            <wp:extent cx="7178040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May, 2026.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001-40530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GH Research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(Exact name of registrant as specified in its charter)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Joshua Dawson House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Dawson Street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Dublin 2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D02 RY95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Ireland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office)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2660"/>
        <w:spacing w:after="0" w:line="138" w:lineRule="exact"/>
        <w:tabs>
          <w:tab w:leader="none" w:pos="3980" w:val="left"/>
          <w:tab w:leader="none" w:pos="4900" w:val="left"/>
          <w:tab w:leader="none" w:pos="6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40-F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0"/>
          <w:szCs w:val="10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2282825</wp:posOffset>
            </wp:positionH>
            <wp:positionV relativeFrom="paragraph">
              <wp:posOffset>28575</wp:posOffset>
            </wp:positionV>
            <wp:extent cx="571500" cy="11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3717290</wp:posOffset>
            </wp:positionH>
            <wp:positionV relativeFrom="paragraph">
              <wp:posOffset>28575</wp:posOffset>
            </wp:positionV>
            <wp:extent cx="577215" cy="1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-728345</wp:posOffset>
            </wp:positionH>
            <wp:positionV relativeFrom="paragraph">
              <wp:posOffset>165735</wp:posOffset>
            </wp:positionV>
            <wp:extent cx="717804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-728345</wp:posOffset>
            </wp:positionH>
            <wp:positionV relativeFrom="paragraph">
              <wp:posOffset>228600</wp:posOffset>
            </wp:positionV>
            <wp:extent cx="7178040" cy="22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-728345</wp:posOffset>
            </wp:positionH>
            <wp:positionV relativeFrom="paragraph">
              <wp:posOffset>331470</wp:posOffset>
            </wp:positionV>
            <wp:extent cx="7178040" cy="114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391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GH Research PLC (the “Company”) will attend the American Society of Clinical Psychopharmacology (“ASCP”) Annual Meeting, which is scheduled to take place from May 26 – 29, 2026, in Miami, Florida (the “Congress”).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 Company will present posters during the Congress as part of Poster Session I.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 copy of the poster to be presented by Roger S. McIntyre is attached hereto as Exhibit 99.1.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 copy of the poster to be presented by Michael E. Thase is attached hereto as Exhibit 99.2.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 copy of the poster to be presented by Wiesław J. Cubała is attached hereto as Exhibit 99.3.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21590</wp:posOffset>
            </wp:positionV>
            <wp:extent cx="7178040" cy="114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80"/>
          </w:cols>
          <w:pgMar w:left="300" w:top="129" w:right="71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0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8"/>
        </w:trPr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85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85"/>
              </w:rPr>
              <w:t>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Poster presented by Roger S. McIntyre, with Title: Rapid and Sustained Improvement in Anhedonia Following Inhaled Mebufotenin (GH001) Treatment in Patients With Treatment-Resistant Depression</w:t>
            </w:r>
          </w:p>
        </w:tc>
      </w:tr>
      <w:tr>
        <w:trPr>
          <w:trHeight w:val="124"/>
        </w:trPr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85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85"/>
              </w:rPr>
              <w:t>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80" w:type="dxa"/>
            <w:vAlign w:val="bottom"/>
          </w:tcPr>
          <w:p>
            <w:pPr>
              <w:ind w:left="3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Poster presented by Michael E. Thase, with Title: GH001 Efficacy is Independent of Prior Antidepressant Treatment Failures in Treatment-Resistant Depression: A Post Hoc Analysis of a Phase 2b</w:t>
            </w:r>
          </w:p>
        </w:tc>
      </w:tr>
      <w:tr>
        <w:trPr>
          <w:trHeight w:val="1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Randomized Controlled Trial</w:t>
            </w:r>
          </w:p>
        </w:tc>
      </w:tr>
      <w:tr>
        <w:trPr>
          <w:trHeight w:val="128"/>
        </w:trPr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85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85"/>
              </w:rPr>
              <w:t>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Poster presented by Wiesław J. Cubała, with Title: Impact of GH001 on Depressive Symptoms, Anxiety, and Quality of Life in Treatment-Resistant Depression: Results from a Phase 2b Trial</w:t>
            </w:r>
          </w:p>
        </w:tc>
      </w:tr>
      <w:tr>
        <w:trPr>
          <w:trHeight w:val="37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</w:tcPr>
          <w:p>
            <w:pPr>
              <w:ind w:left="4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2</w:t>
            </w:r>
          </w:p>
        </w:tc>
      </w:tr>
      <w:tr>
        <w:trPr>
          <w:trHeight w:val="26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125" w:right="299" w:bottom="1440" w:gutter="0" w:footer="0" w:header="0"/>
        </w:sectPr>
      </w:pPr>
    </w:p>
    <w:bookmarkStart w:id="3" w:name="page4"/>
    <w:bookmarkEnd w:id="3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8"/>
        </w:trPr>
        <w:tc>
          <w:tcPr>
            <w:tcW w:w="11300" w:type="dxa"/>
            <w:vAlign w:val="bottom"/>
            <w:gridSpan w:val="2"/>
          </w:tcPr>
          <w:p>
            <w:pPr>
              <w:ind w:left="5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GH Research PLC</w:t>
            </w:r>
          </w:p>
        </w:tc>
      </w:tr>
      <w:tr>
        <w:trPr>
          <w:trHeight w:val="14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Date: May 21, 2026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5"/>
        </w:trPr>
        <w:tc>
          <w:tcPr>
            <w:tcW w:w="6220" w:type="dxa"/>
            <w:vAlign w:val="bottom"/>
          </w:tcPr>
          <w:p>
            <w:pPr>
              <w:ind w:left="5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Julie Ryan</w:t>
            </w:r>
          </w:p>
        </w:tc>
      </w:tr>
      <w:tr>
        <w:trPr>
          <w:trHeight w:val="131"/>
        </w:trPr>
        <w:tc>
          <w:tcPr>
            <w:tcW w:w="6220" w:type="dxa"/>
            <w:vAlign w:val="bottom"/>
          </w:tcPr>
          <w:p>
            <w:pPr>
              <w:ind w:left="5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Julie Ryan</w:t>
            </w:r>
          </w:p>
        </w:tc>
      </w:tr>
      <w:tr>
        <w:trPr>
          <w:trHeight w:val="155"/>
        </w:trPr>
        <w:tc>
          <w:tcPr>
            <w:tcW w:w="6220" w:type="dxa"/>
            <w:vAlign w:val="bottom"/>
          </w:tcPr>
          <w:p>
            <w:pPr>
              <w:ind w:left="5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Vice President, Finance</w:t>
            </w:r>
          </w:p>
        </w:tc>
      </w:tr>
      <w:tr>
        <w:trPr>
          <w:trHeight w:val="397"/>
        </w:trPr>
        <w:tc>
          <w:tcPr>
            <w:tcW w:w="6220" w:type="dxa"/>
            <w:vAlign w:val="bottom"/>
          </w:tcPr>
          <w:p>
            <w:pPr>
              <w:ind w:left="5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3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3"/>
        </w:trPr>
        <w:tc>
          <w:tcPr>
            <w:tcW w:w="6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125" w:right="299" w:bottom="1440" w:gutter="0" w:footer="0" w:header="0"/>
        </w:sectPr>
      </w:pPr>
    </w:p>
    <w:bookmarkStart w:id="4" w:name="page5"/>
    <w:bookmarkEnd w:id="4"/>
    <w:p>
      <w:pPr>
        <w:ind w:left="9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178040" cy="228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-728345</wp:posOffset>
            </wp:positionH>
            <wp:positionV relativeFrom="paragraph">
              <wp:posOffset>111760</wp:posOffset>
            </wp:positionV>
            <wp:extent cx="7218680" cy="76409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764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224" w:right="299" w:bottom="1440" w:gutter="0" w:footer="0" w:header="0"/>
        </w:sectPr>
      </w:pPr>
    </w:p>
    <w:bookmarkStart w:id="5" w:name="page6"/>
    <w:bookmarkEnd w:id="5"/>
    <w:p>
      <w:pPr>
        <w:ind w:left="9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178040" cy="228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-728345</wp:posOffset>
            </wp:positionH>
            <wp:positionV relativeFrom="paragraph">
              <wp:posOffset>111760</wp:posOffset>
            </wp:positionV>
            <wp:extent cx="7218680" cy="76409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764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224" w:right="299" w:bottom="1440" w:gutter="0" w:footer="0" w:header="0"/>
        </w:sectPr>
      </w:pPr>
    </w:p>
    <w:bookmarkStart w:id="6" w:name="page7"/>
    <w:bookmarkEnd w:id="6"/>
    <w:p>
      <w:pPr>
        <w:ind w:left="9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178040" cy="228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-728345</wp:posOffset>
            </wp:positionH>
            <wp:positionV relativeFrom="paragraph">
              <wp:posOffset>111760</wp:posOffset>
            </wp:positionV>
            <wp:extent cx="7218680" cy="76409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764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160"/>
      </w:cols>
      <w:pgMar w:left="1440" w:top="224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2026-05-21T06:03:23Z</dcterms:created>
  <dcterms:modified xsi:type="dcterms:W3CDTF">2026-05-21T06:03:23Z</dcterms:modified>
</cp:coreProperties>
</file>