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GH Research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$0.025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Lynx1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10,763,288.00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10,763,288.00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10,763,288.00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Weston Nichols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10,763,288.00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10,763,288.00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10,763,288.00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17.4 %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GH Research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Joshua Dawson House Dawson Street Dublin 2 L2 D02 RY95 Ireland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This statement is filed by: (i) Lynx1 Capital Management LP (the "Investment Manager"), a Delaware limited partnership, and the investment manager to Lynx1 Master Fund LP (the "Lynx1 Fund") and a managed account, with respect to the ordinary shares, nominal value $0.025 per share ("Ordinary Shares"), of GH Research PLC, an Irish</w:t>
      </w:r>
    </w:p>
    <w:p>
      <w:pPr>
        <w:spacing w:after="0" w:line="1" w:lineRule="exact"/>
        <w:rPr>
          <w:sz w:val="20"/>
          <w:szCs w:val="20"/>
          <w:color w:val="auto"/>
        </w:rPr>
      </w:pPr>
    </w:p>
    <w:p>
      <w:pPr>
        <w:ind w:left="920" w:hanging="912"/>
        <w:spacing w:after="0" w:line="20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public limited company (the "Company"), directly held by the Lynx1 Fund and the managed account; and (ii) Mr. Weston Nichols ("Mr. Nichols"), the sole member of Lynx1 Capital Management GP LLC, the general partner of the Investment Manager, with respect to the Ordinary Shares directly held by the Lynx1 Fund and the managed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p>
      <w:pPr>
        <w:sectPr>
          <w:pgSz w:w="11900" w:h="16838" w:orient="portrait"/>
          <w:cols w:equalWidth="0" w:num="1">
            <w:col w:w="11120"/>
          </w:cols>
          <w:pgMar w:left="360" w:top="111" w:right="41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Lynx1 Capital Management LP D81 Calle C Suite 301, PMB 1202 Dorado, PR, 00646-2051 Weston Nichols c/o Lynx1 Capital Management LP D81 Calle C Suite 301, PMB 1202 Dorado, PR, 00646-2051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940"/>
        <w:spacing w:after="0" w:line="309" w:lineRule="auto"/>
        <w:rPr>
          <w:sz w:val="20"/>
          <w:szCs w:val="20"/>
          <w:color w:val="auto"/>
        </w:rPr>
      </w:pPr>
      <w:r>
        <w:rPr>
          <w:rFonts w:ascii="Times New Roman" w:cs="Times New Roman" w:eastAsia="Times New Roman" w:hAnsi="Times New Roman"/>
          <w:sz w:val="22"/>
          <w:szCs w:val="22"/>
          <w:color w:val="auto"/>
        </w:rPr>
        <w:t>Investment Manager - Delaware Mr. Nichols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nominal value $0.025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20"/>
        <w:spacing w:after="0" w:line="235"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 set forth in this Schedule 13G is calculated based upon an aggregate of 62,029,395 Ordinary Shares outstanding as of February 17, 2026, as reported in the Company's Annual Report on Form 20-F for the period ended December 31, 2025, filed with the Securities and Exchange Commission on March 5, 2026. The amount of Ordinary Shares set forth in rows (6), (8), and (9) of the cover page for each of the Reporting Persons includes 9,456,622 Ordinary Shares as previously reported on Schedule 13G for the quarterly period ending March 31, 2026, filed with the Securities Exchange Commission on May 15, 2026, plus an additional 1,306,666 Ordinary Shares also beneficially owned by the Reporting Persons on March 31, 2026.</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See Item 2(a). The Lynx1 Fund has the right to receive or the power to direct the receipt of dividends from, or the proceeds from the sale of, the Ordinary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1840"/>
        <w:spacing w:after="0"/>
        <w:rPr>
          <w:sz w:val="20"/>
          <w:szCs w:val="20"/>
          <w:color w:val="auto"/>
        </w:rPr>
      </w:pPr>
      <w:r>
        <w:rPr>
          <w:rFonts w:ascii="Times New Roman" w:cs="Times New Roman" w:eastAsia="Times New Roman" w:hAnsi="Times New Roman"/>
          <w:sz w:val="22"/>
          <w:szCs w:val="22"/>
          <w:color w:val="auto"/>
        </w:rPr>
        <w:t>Lynx1 Capital Management LP</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Weston Nichols</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Lynx1 Capital Management GP LLC, General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 By: Weston Nichols, Sole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p>
      <w:pPr>
        <w:spacing w:after="0" w:line="1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Weston Nichols</w:t>
      </w:r>
    </w:p>
    <w:p>
      <w:pPr>
        <w:spacing w:after="0" w:line="152"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Weston Nichols</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Weston Nichols, Individually</w:t>
      </w:r>
    </w:p>
    <w:p>
      <w:pPr>
        <w:spacing w:after="0" w:line="44" w:lineRule="exact"/>
        <w:rPr>
          <w:sz w:val="20"/>
          <w:szCs w:val="20"/>
          <w:color w:val="auto"/>
        </w:rPr>
      </w:pPr>
    </w:p>
    <w:p>
      <w:pPr>
        <w:ind w:left="2740"/>
        <w:spacing w:after="0"/>
        <w:tabs>
          <w:tab w:leader="none" w:pos="3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05/18/2026</w:t>
      </w:r>
    </w:p>
    <w:sectPr>
      <w:pgSz w:w="11900" w:h="16838" w:orient="portrait"/>
      <w:cols w:equalWidth="0" w:num="1">
        <w:col w:w="10020"/>
      </w:cols>
      <w:pgMar w:left="1440" w:top="11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2026-05-18T20:32:58Z</dcterms:created>
  <dcterms:modified xsi:type="dcterms:W3CDTF">2026-05-18T20:32:58Z</dcterms:modified>
</cp:coreProperties>
</file>