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001-40530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GH Research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Dawson House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Dublin 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D02 RY95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520"/>
        <w:spacing w:after="0" w:line="207" w:lineRule="exact"/>
        <w:tabs>
          <w:tab w:leader="none" w:pos="4780" w:val="left"/>
          <w:tab w:leader="none" w:pos="60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4475480</wp:posOffset>
            </wp:positionH>
            <wp:positionV relativeFrom="paragraph">
              <wp:posOffset>52070</wp:posOffset>
            </wp:positionV>
            <wp:extent cx="5060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257810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16"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May 14, 2026, GH Research PLC (the “Company”) entered into an At-the-Market Equity Offering Sales Agreement (the “Sales Agreement”) with Stifel, Nicolaus &amp; Company, Incorporated (the “Agent”) to offer and sell up to $200 million of ordinary shares (the “Shares”), nominal value $0.025 per share, from time to time through the Agent, acting as sales agent or principal. The Sales Agreement includes the terms and conditions for the offering and sale of the Shares, indemnification and contribution obligations, and other terms and conditions customary in agreements of this type. The sales, if any, of the Shares under the Sales Agreement will be made by any method permitted by law deemed to be an “at the market offering” as defined in Rule 415(a)(4) promulgated under the Securities Act of 1933, as amended (the “Securities Act”). The foregoing description of the Sales Agreement does not purport to be complete and is qualified in its entirety by reference to the Sales Agreement, which is attached to this Report on Form 6-K as Exhibit 1.1.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and sale of the Shares has been registered under the Securities Act, pursuant to a registration statement on Form F-3 (File No. 333-285310) (the “Registration Statement”). The Company has filed with the U.S. Securities and Exchange Commission a prospectus supplement dated May 14, 2026, together with an accompanying prospectus dated March 7, 2025, relating to the offer and sale of the Shares. Opinion of counsel regarding the validity of the Shares is attached to this Report on Form 6-K as Exhibit 5.1 and the applicable consent of such counsel relating to the incorporation of such opinion into the Registration Statement is attached to this Report on Form 6-K as 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Exhibits 1.1, 5.1 and 23.1, shall be deemed to be incorporated by reference into the registration statements on Form S-8 (Registration Nos. 333-270422, 333-285311 and 333-294036) and the registration statements on Form F-3 (Registration Nos. 333-285310 and 333-295872) of the Company and to be a part thereof from the date on which this report is filed, to the extent not superseded by documents or reports subsequently filed or furnished.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500" w:type="dxa"/>
            <w:vAlign w:val="bottom"/>
          </w:tcPr>
          <w:p>
            <w:pPr>
              <w:spacing w:after="0"/>
              <w:rPr>
                <w:sz w:val="20"/>
                <w:szCs w:val="20"/>
                <w:color w:val="auto"/>
              </w:rPr>
            </w:pPr>
          </w:p>
        </w:tc>
      </w:tr>
      <w:tr>
        <w:trPr>
          <w:trHeight w:val="176"/>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20" w:type="dxa"/>
            <w:vAlign w:val="bottom"/>
            <w:shd w:val="clear" w:color="auto" w:fill="CCEEFF"/>
          </w:tcPr>
          <w:p>
            <w:pPr>
              <w:spacing w:after="0"/>
              <w:rPr>
                <w:sz w:val="15"/>
                <w:szCs w:val="15"/>
                <w:color w:val="auto"/>
              </w:rPr>
            </w:pPr>
          </w:p>
        </w:tc>
        <w:tc>
          <w:tcPr>
            <w:tcW w:w="10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At-the-Market Equity Offering Sales Agreement, dated May 14, 2026, between GH Research PLC and Stifel, Nicolaus &amp; Company,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w:t>
            </w:r>
          </w:p>
        </w:tc>
      </w:tr>
      <w:tr>
        <w:trPr>
          <w:trHeight w:val="176"/>
        </w:trPr>
        <w:tc>
          <w:tcPr>
            <w:tcW w:w="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15"/>
                <w:szCs w:val="15"/>
                <w:color w:val="auto"/>
              </w:rPr>
            </w:pPr>
          </w:p>
        </w:tc>
        <w:tc>
          <w:tcPr>
            <w:tcW w:w="10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Opinion of A&amp;L Goodbody LLP, Irish counsel of GH Research PLC</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r>
      <w:tr>
        <w:trPr>
          <w:trHeight w:val="196"/>
        </w:trPr>
        <w:tc>
          <w:tcPr>
            <w:tcW w:w="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Consent of A&amp;L Goodbody LLP (included in Exhibit 5.1)</w:t>
            </w:r>
          </w:p>
        </w:tc>
      </w:tr>
      <w:tr>
        <w:trPr>
          <w:trHeight w:val="557"/>
        </w:trPr>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500" w:type="dxa"/>
            <w:vAlign w:val="bottom"/>
            <w:tcBorders>
              <w:top w:val="single" w:sz="8" w:color="CCEEFF"/>
            </w:tcBorders>
          </w:tcPr>
          <w:p>
            <w:pPr>
              <w:ind w:left="484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5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4460"/>
              <w:spacing w:after="0"/>
              <w:rPr>
                <w:sz w:val="20"/>
                <w:szCs w:val="20"/>
                <w:color w:val="auto"/>
              </w:rPr>
            </w:pPr>
            <w:r>
              <w:rPr>
                <w:rFonts w:ascii="Times New Roman" w:cs="Times New Roman" w:eastAsia="Times New Roman" w:hAnsi="Times New Roman"/>
                <w:sz w:val="18"/>
                <w:szCs w:val="18"/>
                <w:b w:val="1"/>
                <w:bCs w:val="1"/>
                <w:color w:val="auto"/>
              </w:rPr>
              <w:t>GH Research PLC</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60" w:type="dxa"/>
            <w:vAlign w:val="bottom"/>
          </w:tcPr>
          <w:p>
            <w:pPr>
              <w:spacing w:after="0"/>
              <w:rPr>
                <w:sz w:val="20"/>
                <w:szCs w:val="20"/>
                <w:color w:val="auto"/>
              </w:rPr>
            </w:pPr>
          </w:p>
        </w:tc>
      </w:tr>
      <w:tr>
        <w:trPr>
          <w:trHeight w:val="439"/>
        </w:trPr>
        <w:tc>
          <w:tcPr>
            <w:tcW w:w="55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Ryan</w:t>
            </w:r>
          </w:p>
        </w:tc>
      </w:tr>
      <w:tr>
        <w:trPr>
          <w:trHeight w:val="198"/>
        </w:trPr>
        <w:tc>
          <w:tcPr>
            <w:tcW w:w="5580" w:type="dxa"/>
            <w:vAlign w:val="bottom"/>
          </w:tcPr>
          <w:p>
            <w:pPr>
              <w:ind w:left="4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Julie Ryan</w:t>
            </w:r>
          </w:p>
        </w:tc>
      </w:tr>
      <w:tr>
        <w:trPr>
          <w:trHeight w:val="234"/>
        </w:trPr>
        <w:tc>
          <w:tcPr>
            <w:tcW w:w="55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Title:</w:t>
            </w: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598"/>
        </w:trPr>
        <w:tc>
          <w:tcPr>
            <w:tcW w:w="558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r>
      <w:tr>
        <w:trPr>
          <w:trHeight w:val="84"/>
        </w:trPr>
        <w:tc>
          <w:tcPr>
            <w:tcW w:w="5580" w:type="dxa"/>
            <w:vAlign w:val="bottom"/>
            <w:tcBorders>
              <w:bottom w:val="single" w:sz="8" w:color="auto"/>
            </w:tcBorders>
          </w:tcPr>
          <w:p>
            <w:pPr>
              <w:spacing w:after="0"/>
              <w:rPr>
                <w:sz w:val="7"/>
                <w:szCs w:val="7"/>
                <w:color w:val="auto"/>
              </w:rPr>
            </w:pPr>
          </w:p>
        </w:tc>
        <w:tc>
          <w:tcPr>
            <w:tcW w:w="56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GH RESEARCH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(Nominal Value $0.025 Each)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EQUITY OFFERING SALES AGREEMENT</w:t>
      </w:r>
    </w:p>
    <w:p>
      <w:pPr>
        <w:spacing w:after="0" w:line="22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May 14,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182" w:lineRule="auto"/>
        <w:rPr>
          <w:sz w:val="20"/>
          <w:szCs w:val="20"/>
          <w:color w:val="auto"/>
        </w:rPr>
      </w:pPr>
      <w:r>
        <w:rPr>
          <w:rFonts w:ascii="Times New Roman" w:cs="Times New Roman" w:eastAsia="Times New Roman" w:hAnsi="Times New Roman"/>
          <w:sz w:val="17"/>
          <w:szCs w:val="17"/>
          <w:color w:val="auto"/>
        </w:rPr>
        <w:t>787 7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Avenue,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GH Research PLC, a public limited company incorporated under the laws of Ireland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to or through Stifel, Nicolaus &amp; Company, Incorporated (“</w:t>
      </w:r>
      <w:r>
        <w:rPr>
          <w:rFonts w:ascii="Times New Roman" w:cs="Times New Roman" w:eastAsia="Times New Roman" w:hAnsi="Times New Roman"/>
          <w:sz w:val="18"/>
          <w:szCs w:val="18"/>
          <w:u w:val="single" w:color="auto"/>
          <w:color w:val="auto"/>
        </w:rPr>
        <w:t>Stifel Nicolaus</w:t>
      </w:r>
      <w:r>
        <w:rPr>
          <w:rFonts w:ascii="Times New Roman" w:cs="Times New Roman" w:eastAsia="Times New Roman" w:hAnsi="Times New Roman"/>
          <w:sz w:val="18"/>
          <w:szCs w:val="18"/>
          <w:color w:val="auto"/>
        </w:rPr>
        <w:t>”), as sales agent and/or principal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Company’s ordinary shares, nominal value $0.025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(such shares to be sold pursuant to this Agreement (as defined below),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having an aggregate offering price of up to $200,000,000.00 on the terms set forth in Section 2 of this At-The-Market Equity Offering Sales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agrees that whenever it determines to sell Shares directly to the Agent as principal, it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in substantially the form of Annex I hereto, relating to such sale in accordance with Section 3 of this Agreement.</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the Agent that as of the date of this Agreement, any applicable Registration Statement Amendment Date (as defined in Section 3 below), each Company Periodic Report Date (as defined in Section 3 below), each Applicable Time (as defined in Section 1(c) below) and each Settlement Date (as defined in Section 2 below):</w:t>
      </w:r>
    </w:p>
    <w:p>
      <w:pPr>
        <w:spacing w:after="0" w:line="176" w:lineRule="exact"/>
        <w:rPr>
          <w:sz w:val="20"/>
          <w:szCs w:val="20"/>
          <w:color w:val="auto"/>
        </w:rPr>
      </w:pPr>
    </w:p>
    <w:p>
      <w:pPr>
        <w:ind w:right="20" w:firstLine="656"/>
        <w:spacing w:after="0" w:line="251" w:lineRule="auto"/>
        <w:tabs>
          <w:tab w:leader="none" w:pos="129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on Form F-3 (File No. 333-285310), in respect of the Company’s Ordinary Shares (including the Shares)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not declared effective by the Commission earlier than three years prior to the date hereof; such registration statement, and any post-effective amendment thereto, was declared effective by the Commission, or shall be declared effective prior to the Company instructing the Agent to make any sales of Shares; and no stop order suspending the effectiveness of such registration statement or any part thereof has been issued and no proceeding for that purpose has been initiated or, to the knowledge of the Company, threatened by the Commission (the base prospectus filed as part of such registration statement, in the form in which it has most recently been filed with the Commission on or prior to the date of this Agreement, is hereinafter called the “</w:t>
      </w:r>
      <w:r>
        <w:rPr>
          <w:rFonts w:ascii="Times New Roman" w:cs="Times New Roman" w:eastAsia="Times New Roman" w:hAnsi="Times New Roman"/>
          <w:sz w:val="18"/>
          <w:szCs w:val="18"/>
          <w:u w:val="single" w:color="auto"/>
          <w:color w:val="auto"/>
        </w:rPr>
        <w:t>Basic Prospectus</w:t>
      </w:r>
      <w:r>
        <w:rPr>
          <w:rFonts w:ascii="Times New Roman" w:cs="Times New Roman" w:eastAsia="Times New Roman" w:hAnsi="Times New Roman"/>
          <w:sz w:val="18"/>
          <w:szCs w:val="18"/>
          <w:color w:val="auto"/>
        </w:rPr>
        <w:t>”); the Company may file one or more additional registration statements from time to time that will contain a base prospectus (in which case all references herein to the Basic Prospectus shall be to the base prospectus in the additional registration statement) and related prospectus or prospectus supplement, if applicable, with respect to the Shares; the various parts of such registration statement, including all exhibits thereto and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prospectus supplement specifically relating to the Shares prepared and filed, or to be filed, with the Commission pursuant to Rule 424(b) under the 1933 Act is hereinafter called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Basic Prospectus, as amended and supplemented by the Prospectus Supplement, is hereinafter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Basic Prospectus, the Prospectus Supplement or the Prospectus shall be deemed to refer to and include the documents incorporated by reference therein pursuant to Item 6 of Form F-3 under the 1933 Act; any reference to any amendment or supplement to the Basic Prospectus, the Prospectus Supplement or the Prospectus shall be deemed to refer to and include any post-effective amendment to the Registration Statement, any prospectus supplement relating to the Shares filed with the Commission pursuant to Rule 424(b) under the 1933 Act and any documents filed under the Securities Exchange Act of 1934, as amended (the “</w:t>
      </w:r>
      <w:r>
        <w:rPr>
          <w:rFonts w:ascii="Times New Roman" w:cs="Times New Roman" w:eastAsia="Times New Roman" w:hAnsi="Times New Roman"/>
          <w:sz w:val="18"/>
          <w:szCs w:val="18"/>
          <w:u w:val="single" w:color="auto"/>
          <w:color w:val="auto"/>
        </w:rPr>
        <w:t>1934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rules and regulations of the Commission thereunder (the “</w:t>
      </w:r>
      <w:r>
        <w:rPr>
          <w:rFonts w:ascii="Times New Roman" w:cs="Times New Roman" w:eastAsia="Times New Roman" w:hAnsi="Times New Roman"/>
          <w:sz w:val="18"/>
          <w:szCs w:val="18"/>
          <w:u w:val="single" w:color="auto"/>
          <w:color w:val="auto"/>
        </w:rPr>
        <w:t>1934 Act Regulations</w:t>
      </w:r>
      <w:r>
        <w:rPr>
          <w:rFonts w:ascii="Times New Roman" w:cs="Times New Roman" w:eastAsia="Times New Roman" w:hAnsi="Times New Roman"/>
          <w:sz w:val="18"/>
          <w:szCs w:val="18"/>
          <w:color w:val="auto"/>
        </w:rPr>
        <w:t>”), and incorporated therein, in each case after the date of the Basic Prospectus, the Prospectus 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and any “issuer free writing prospectus” as defined in Rule 433 under the 1933 Act relating to the Shares is hereinafter called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 order preventing or suspending the use of the Basic Prospectus, the Prospectus Supplement, the Prospectus or any Issuer Free Writing Prospectus has been issued by the Commission, and the Basic Prospectus and the Prospectus Supplement, at the time of filing thereof, conformed in all material respects to the requirements of the 1933 Act and the rules and regulations of the Commission thereunder (the “</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the purposes of this Agreement, the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Prospectus Supplement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spacing w:after="0" w:line="188" w:lineRule="exact"/>
        <w:rPr>
          <w:sz w:val="20"/>
          <w:szCs w:val="20"/>
          <w:color w:val="auto"/>
        </w:rPr>
      </w:pPr>
    </w:p>
    <w:p>
      <w:pPr>
        <w:ind w:right="60" w:firstLine="656"/>
        <w:spacing w:after="0" w:line="256" w:lineRule="auto"/>
        <w:tabs>
          <w:tab w:leader="none" w:pos="1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Documents by Reference</w:t>
      </w:r>
      <w:r>
        <w:rPr>
          <w:rFonts w:ascii="Times New Roman" w:cs="Times New Roman" w:eastAsia="Times New Roman" w:hAnsi="Times New Roman"/>
          <w:sz w:val="18"/>
          <w:szCs w:val="18"/>
          <w:color w:val="auto"/>
        </w:rPr>
        <w:t>. The documents incorporated or deemed to be incorporated by reference in the Registration Statement and the Prospectus, when they became effective or were filed with the Commission, as the case may be, complied in all material respects with the requirements of the 1934 Act and the 1934 Act Regulations, and, when read together with the other information in the Prospectus, (a) at the time the Registration Statement was last deemed to have become effective, (b) at the time the Prospectus was issued and (c) on the date of this Agreement, did not contain an untrue statement of a material fact or omit to state a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right="120" w:firstLine="656"/>
        <w:spacing w:after="0" w:line="282" w:lineRule="auto"/>
        <w:tabs>
          <w:tab w:leader="none" w:pos="1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Agreements</w:t>
      </w:r>
      <w:r>
        <w:rPr>
          <w:rFonts w:ascii="Times New Roman" w:cs="Times New Roman" w:eastAsia="Times New Roman" w:hAnsi="Times New Roman"/>
          <w:sz w:val="18"/>
          <w:szCs w:val="18"/>
          <w:color w:val="auto"/>
        </w:rPr>
        <w:t>. This Agreement and any Terms Agreement have been duly authorized by the Company. This Agreement has been, and any Terms Agreement will be, executed and delivered by the Company.</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The Company is a “foreign private issuer” within the meaning of Rule 405 under the 1933 Act.</w:t>
      </w:r>
    </w:p>
    <w:p>
      <w:pPr>
        <w:spacing w:after="0" w:line="225" w:lineRule="exact"/>
        <w:rPr>
          <w:rFonts w:ascii="Times New Roman" w:cs="Times New Roman" w:eastAsia="Times New Roman" w:hAnsi="Times New Roman"/>
          <w:sz w:val="18"/>
          <w:szCs w:val="18"/>
          <w:color w:val="auto"/>
        </w:rPr>
      </w:pPr>
    </w:p>
    <w:p>
      <w:pPr>
        <w:ind w:right="40" w:firstLine="656"/>
        <w:spacing w:after="0" w:line="252" w:lineRule="auto"/>
        <w:tabs>
          <w:tab w:leader="none" w:pos="1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Materials</w:t>
      </w:r>
      <w:r>
        <w:rPr>
          <w:rFonts w:ascii="Times New Roman" w:cs="Times New Roman" w:eastAsia="Times New Roman" w:hAnsi="Times New Roman"/>
          <w:sz w:val="18"/>
          <w:szCs w:val="18"/>
          <w:color w:val="auto"/>
        </w:rPr>
        <w:t>. The Company has not, directly or indirectly, distributed and will not distribute any offering material in connection with the offering and sale of the Shares other than any preliminary prospectus, the Prospectus and other materials, if any, permitted under the 1933 Act and consistent with Section 4 below. The Company will file with the Commission all Issuer Free Writing Prospectuses (other than a “road show” as described in Rule 433(d)(8) of the 1933 Act Regulations) in the time and manner required under Rules 163(b)(2) and 433(d) of the 1933 Act Regulations. In the twelve (12) month period prior to the date of this Agreement, the Company has not taken any action which would constitute an offer of the Shares to the public in any Member State of the European Economic Area (each, a “Relevant State”) for which a prospectus would need to be approved and published, in accordance with the Prospectus Regulation. For the purposes of this Agreement,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(i) Regulation (EU) 2017/1129, as amended, and the European Union (Prospectus) Regulations 2019, as amended, (SI No 380/2019), or (ii) in the United Kingdom, a prospectus approved and published under the UK Prospectus Regulation or the UK Financial Services and Markets Act 2000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as amended).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1340" w:hanging="684"/>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right="120" w:firstLine="656"/>
        <w:spacing w:after="0" w:line="282" w:lineRule="auto"/>
        <w:tabs>
          <w:tab w:leader="none" w:pos="1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Ineligible Issuer</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1933 Act Regulations.</w:t>
      </w:r>
    </w:p>
    <w:p>
      <w:pPr>
        <w:spacing w:after="0" w:line="161" w:lineRule="exact"/>
        <w:rPr>
          <w:rFonts w:ascii="Times New Roman" w:cs="Times New Roman" w:eastAsia="Times New Roman" w:hAnsi="Times New Roman"/>
          <w:sz w:val="18"/>
          <w:szCs w:val="18"/>
          <w:color w:val="auto"/>
        </w:rPr>
      </w:pPr>
    </w:p>
    <w:p>
      <w:pPr>
        <w:ind w:firstLine="656"/>
        <w:spacing w:after="0" w:line="252" w:lineRule="auto"/>
        <w:tabs>
          <w:tab w:leader="none" w:pos="1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w:t>
      </w:r>
      <w:r>
        <w:rPr>
          <w:rFonts w:ascii="Times New Roman" w:cs="Times New Roman" w:eastAsia="Times New Roman" w:hAnsi="Times New Roman"/>
          <w:sz w:val="18"/>
          <w:szCs w:val="18"/>
          <w:color w:val="auto"/>
        </w:rPr>
        <w:t>. The Company and each of its subsidiaries (as defined in Rule 405 of the 1933 Act Regulations) have been duly incorporated and are validly existing as corporations or other legal entities in good standing (or such equivalent concept to the extent it exists in Ireland) under the laws of Ireland. The Company and each of its subsidiaries are duly qualified to do business and are in good standing (or such equivalent concept to the extent it exists in Ireland) as foreign corporations or other legal entities in each jurisdiction in which their respective ownership or lease of property or the conduct of their respective businesses requires such qualification and have the corporate power and authority necessary to own or hold their respective properties and to conduct the businesses in which they are engaged, except where the failure to so qualify or have such power or authority would not (i) have, singularly or in the aggregate, a material adverse effect on the business, properties, management, financial position, shareholders’ equity, results of operations or prospects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listed in Exhibit 8.1 to the Company’s most recently filed Annual Report on Form</w:t>
      </w:r>
    </w:p>
    <w:p>
      <w:pPr>
        <w:spacing w:after="0" w:line="3"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20-F other than (i) those subsidiaries not required to be listed on Exhibit 8.1 and (ii) those subsidiaries formed since the last day of the most recently ended fiscal year.</w:t>
      </w:r>
    </w:p>
    <w:p>
      <w:pPr>
        <w:spacing w:after="0" w:line="181" w:lineRule="exact"/>
        <w:rPr>
          <w:rFonts w:ascii="Times New Roman" w:cs="Times New Roman" w:eastAsia="Times New Roman" w:hAnsi="Times New Roman"/>
          <w:sz w:val="18"/>
          <w:szCs w:val="18"/>
          <w:color w:val="auto"/>
        </w:rPr>
      </w:pPr>
    </w:p>
    <w:p>
      <w:pPr>
        <w:ind w:right="140" w:firstLine="656"/>
        <w:spacing w:after="0" w:line="261" w:lineRule="auto"/>
        <w:tabs>
          <w:tab w:leader="none" w:pos="13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Shares</w:t>
      </w:r>
      <w:r>
        <w:rPr>
          <w:rFonts w:ascii="Times New Roman" w:cs="Times New Roman" w:eastAsia="Times New Roman" w:hAnsi="Times New Roman"/>
          <w:sz w:val="18"/>
          <w:szCs w:val="18"/>
          <w:color w:val="auto"/>
        </w:rPr>
        <w:t>. The Shares to be issued and sold by the Company to or through the Agent hereunder have been duly and validly authorized and, when issued and delivered against payment therefor as provided herein, will be duly and validly issued, fully paid and non-assessable and will conform in all material respects to the descriptions thereof in the Registration Statement, the General Disclosure Package and the Prospectus; and the issuance of the Shares is not subject to any preemptive or similar rights.</w:t>
      </w:r>
    </w:p>
    <w:p>
      <w:pPr>
        <w:spacing w:after="0" w:line="179" w:lineRule="exact"/>
        <w:rPr>
          <w:rFonts w:ascii="Times New Roman" w:cs="Times New Roman" w:eastAsia="Times New Roman" w:hAnsi="Times New Roman"/>
          <w:sz w:val="18"/>
          <w:szCs w:val="18"/>
          <w:color w:val="auto"/>
        </w:rPr>
      </w:pPr>
    </w:p>
    <w:p>
      <w:pPr>
        <w:ind w:firstLine="656"/>
        <w:spacing w:after="0" w:line="252" w:lineRule="auto"/>
        <w:tabs>
          <w:tab w:leader="none" w:pos="13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and issued share capital of the Company is as set forth in the Registration Statement, the General Disclosure Package and the Prospectus as of the respective dates set forth therein. The issued share capital of the Company has been duly and validly authorized and issued, is fully paid and non-assessable, and has been issued in compliance with the Company’s constitution and applicable company and federal and state securities laws, and conform to the description thereof contained in the General Disclosure Package and the Prospectus. All of the Company’s options, warrants and other rights to subscribe for, purchase or exchange any securities for shares of the Company’s share capital have been duly authorized and validly issued and were issued in compliance with applicable company and securities laws. None of the outstanding Ordinary Shares were issued in violation of any preemptive rights, rights of first refusal or other similar rights to subscribe for or purchase securities of the Company. There are no authorized or outstanding shares, options, warrants, preemptive rights, rights of first refusal or other rights to subscribe for or purchase, or equity or debt securities convertible into or exchangeable or exercisable for, any shares of the Company or any of its subsidiaries other than those described above or accurately described in the General Disclosure Package. Except as disclosed in the Registration Statement, the General Disclosure Package and the Prospectus, the Company has not issued any securities other than Ordinary Shares issued pursuant to the exercise of warrants or upon the exercise of share options or other awards outstanding under the Company’s share option plan, options or other securities granted or issued pursuant to the Company’s existing equity compensation plans or other plans, and the issuance of Ordinary Shares pursuant to employee share purchase plans. The description of the Company’s share option, share bonus and other share plans or arrangements, and the options or other rights granted thereunder, as described in the General Disclosure Package and the Prospectus, accurately and fairly present in all material respects the information required to be shown with respect to such plans, arrangements, options and rights. The issued share capital (if any) of each subsidiary of the Company has been duly authorized and validly issued, is fully paid and nonassessable and, except to the extent set forth in the General Disclosure Package or the Prospectus, is owned by the Company directly or indirectly through one or more wholly-owned subsidiaries, free and clear of any claim, lien, encumbrance, security interest, restriction upon voting or transfer or any other claim of any third party.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right="20" w:firstLine="656"/>
        <w:spacing w:after="0" w:line="269" w:lineRule="auto"/>
        <w:tabs>
          <w:tab w:leader="none" w:pos="13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Agreement by the Company, the issue and sale of the Shares by the Company,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constitution (or analogous governing instruments, as applicable) of the Company or any of its subsidiaries or (iii) result in the violation of any federal, state, local or foreign law, statute, rule, regulation, judgment, order or decree of any court or governmental or regulatory agency or body, domestic or foreign, having jurisdiction over the Company or any of its subsidiaries or any of their properties or assets except, in the case of clauses (i) and (iii) above, for any such conflict, breach, violation or default that would not, individually or in the aggregate, reasonably be expected to have a Material Adverse Effect. A “</w:t>
      </w:r>
      <w:r>
        <w:rPr>
          <w:rFonts w:ascii="Times New Roman" w:cs="Times New Roman" w:eastAsia="Times New Roman" w:hAnsi="Times New Roman"/>
          <w:sz w:val="17"/>
          <w:szCs w:val="17"/>
          <w:u w:val="single" w:color="auto"/>
          <w:color w:val="auto"/>
        </w:rPr>
        <w:t>Debt Repayment Triggering Event</w:t>
      </w:r>
      <w:r>
        <w:rPr>
          <w:rFonts w:ascii="Times New Roman" w:cs="Times New Roman" w:eastAsia="Times New Roman" w:hAnsi="Times New Roman"/>
          <w:sz w:val="17"/>
          <w:szCs w:val="17"/>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5" w:lineRule="exact"/>
        <w:rPr>
          <w:rFonts w:ascii="Times New Roman" w:cs="Times New Roman" w:eastAsia="Times New Roman" w:hAnsi="Times New Roman"/>
          <w:sz w:val="17"/>
          <w:szCs w:val="17"/>
          <w:color w:val="auto"/>
        </w:rPr>
      </w:pPr>
    </w:p>
    <w:p>
      <w:pPr>
        <w:ind w:firstLine="656"/>
        <w:spacing w:after="0" w:line="253" w:lineRule="auto"/>
        <w:tabs>
          <w:tab w:leader="none" w:pos="1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Except for the registration of the Shares under the 1933 Act and applicable state securities laws and such consents, approvals, authorizations, orders and registrations or qualifications as may be required by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The Nasdaq Global Market (“Nasdaq”), or in connection with the issuance to or through the Agent or the purchase and distribution of the Shares by the Agent, the listing of the Shares on Nasdaq, no consent, approval, authorization or order of, or filing, qualification or registration (each, an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with, any court, governmental or regulatory agency or body, foreign or domestic, which has not been made, obtained or taken and is not in full force and effect, is required for the execution, delivery and performance of this Agreement by the Company, the issuance and/or sale of the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corporate approvals (including those of shareholders) necessary for the Company to consummate the transactions contemplated by this Agreement have been obtained and are in effect.</w:t>
      </w:r>
    </w:p>
    <w:p>
      <w:pPr>
        <w:spacing w:after="0" w:line="194" w:lineRule="exact"/>
        <w:rPr>
          <w:rFonts w:ascii="Times New Roman" w:cs="Times New Roman" w:eastAsia="Times New Roman" w:hAnsi="Times New Roman"/>
          <w:sz w:val="18"/>
          <w:szCs w:val="18"/>
          <w:color w:val="auto"/>
        </w:rPr>
      </w:pPr>
    </w:p>
    <w:p>
      <w:pPr>
        <w:ind w:right="140" w:firstLine="656"/>
        <w:spacing w:after="0" w:line="261" w:lineRule="auto"/>
        <w:tabs>
          <w:tab w:leader="none" w:pos="1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Auditors</w:t>
      </w:r>
      <w:r>
        <w:rPr>
          <w:rFonts w:ascii="Times New Roman" w:cs="Times New Roman" w:eastAsia="Times New Roman" w:hAnsi="Times New Roman"/>
          <w:sz w:val="18"/>
          <w:szCs w:val="18"/>
          <w:color w:val="auto"/>
        </w:rPr>
        <w:t>. PricewaterhouseCoopers, a member firm of PricewaterhouseCoopers International Limited, which has delivered its report with respect to the audited financial statements of the Company included in the Registration Statement, the General Disclosure Package and the Prospectus, is an independent registered public accounting firm with respect to the Company within the meaning of the 1933 Act and the applicable rules and regulations thereunder adopted by the Commission and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firstLine="656"/>
        <w:spacing w:after="0" w:line="252" w:lineRule="auto"/>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together with the related notes, included in the General Disclosure Package, the Prospectus and in the Registration Statement present fairly in all material respects the financial position and the results of operations and changes in financial position of the Company and its subsidiaries at the respective dates or for the respective periods therein specified. Such statements and related notes have been prepared in accordance with the International Financial Reporting Standards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as issued by the International Accounting Standards Board, applied on a consistent basis throughout the periods involved except as may be set forth in the related notes included in the General Disclosure Package. The financial statements, together with the related notes, included in the General Disclosure Package and the Prospectus comply in all material respects with Regulation S-X. No other financial statements or supporting schedules or exhibits are required by Regulation S-X to be described or included in the Registration Statement, the General Disclosure Package or the Prospectus. There is no pro forma financial information which is required to be included in the Registration Statement, the General Disclosure Package or the Prospectus in accordance with Regulation S-X which has not been included or incorporated as so required. The financial data included in the General Disclosure Package, the Prospectus and the Registration Statement present fairly in all material respects the information shown therein as at the respective dates and for the respective periods specified and are derived from the consolidated financial statements set forth in the Registration Statement, the General Disclosure Package and the Prospectus and other financial information. All information contained in the Registration Statement, the General Disclosure Package and the Prospectus regarding “non-IFRS financial measures” (as defined in Regulation G) complies with Regulation G and Item 10 of Regulations S-K, to the extent applicable.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94" w:lineRule="exact"/>
        <w:rPr>
          <w:rFonts w:ascii="Times New Roman" w:cs="Times New Roman" w:eastAsia="Times New Roman" w:hAnsi="Times New Roman"/>
          <w:sz w:val="18"/>
          <w:szCs w:val="18"/>
          <w:color w:val="auto"/>
        </w:rPr>
      </w:pPr>
    </w:p>
    <w:p>
      <w:pPr>
        <w:ind w:right="40" w:firstLine="656"/>
        <w:spacing w:after="0" w:line="253" w:lineRule="auto"/>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Neither the Company nor any of its subsidiaries has sustained, since the date of the latest audited financial statements included in the General Disclosure Package, (i) any material loss or interference with its business from fire, explosion, flood or other calamity, whether or not covered by insurance, or from any labor dispute or action, order or decree of any court or governmental or regulatory authority, otherwise than as set forth or contemplated in the General Disclosure Package, (ii) any change in the share capital (other than changes as a result of the issuance of Ordinary Shares upon exercise of share options and warrants described as outstanding in, and the grant of options and awards under existing equity incentive plans described in, the Registration Statement, the General Disclosure Package and the Prospectus) or long-term debt of the Company or any of its subsidiaries, or any dividend or distribution of any kind declared, set aside for payment, paid or made by the Company on any class of share, or any material adverse changes, or any development that would reasonably be expected to result in a prospective material adverse change, in or affecting the business, properties, assets, general affairs, management, financial position, prospects, shareholders’ equity or results of operations of the Company and its subsidiaries taken as a whole, otherwise than as set forth or contemplated in the General Disclosure Package.</w:t>
      </w:r>
    </w:p>
    <w:p>
      <w:pPr>
        <w:spacing w:after="0" w:line="194" w:lineRule="exact"/>
        <w:rPr>
          <w:rFonts w:ascii="Times New Roman" w:cs="Times New Roman" w:eastAsia="Times New Roman" w:hAnsi="Times New Roman"/>
          <w:sz w:val="18"/>
          <w:szCs w:val="18"/>
          <w:color w:val="auto"/>
        </w:rPr>
      </w:pPr>
    </w:p>
    <w:p>
      <w:pPr>
        <w:ind w:right="40" w:firstLine="656"/>
        <w:spacing w:after="0" w:line="258" w:lineRule="auto"/>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set forth in the General Disclosure Package, there is no legal or governmental proceeding pending to which the Company or any of its subsidiaries is a party or of which any property or assets of the Company or any of its subsidiaries is the subject that is required to be described in the Registration Statement, the General Disclosure Package or the Prospectus and is not described therein, or which, singularly or in the aggregate, if determined adversely to the Company or any of its subsidiaries, could reasonably be expected to have a Material Adverse Effect; and no such proceedings are threatened or, to the Company’s knowledge, contemplated by governmental or regulatory authorities or threatened by others.</w:t>
      </w:r>
    </w:p>
    <w:p>
      <w:pPr>
        <w:spacing w:after="0" w:line="183" w:lineRule="exact"/>
        <w:rPr>
          <w:rFonts w:ascii="Times New Roman" w:cs="Times New Roman" w:eastAsia="Times New Roman" w:hAnsi="Times New Roman"/>
          <w:sz w:val="18"/>
          <w:szCs w:val="18"/>
          <w:color w:val="auto"/>
        </w:rPr>
      </w:pPr>
    </w:p>
    <w:p>
      <w:pPr>
        <w:ind w:right="20" w:firstLine="656"/>
        <w:spacing w:after="0" w:line="252" w:lineRule="auto"/>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Healthcare Regulatory Proceedings</w:t>
      </w:r>
      <w:r>
        <w:rPr>
          <w:rFonts w:ascii="Times New Roman" w:cs="Times New Roman" w:eastAsia="Times New Roman" w:hAnsi="Times New Roman"/>
          <w:sz w:val="18"/>
          <w:szCs w:val="18"/>
          <w:color w:val="auto"/>
        </w:rPr>
        <w:t>. Except as set forth in the General Disclosure Package, there is no legal or governmental proceeding to which the Company or any of its subsidiaries is a party or of which any property or assets of the Company or any of its subsidiaries is the subject, including any proceeding before the United States Food and Drug Administration of the U.S. Department of Health and Human Services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Drug Enforcement Administration (“</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the Medicines and Healthcare Products Regulatory Agency (“</w:t>
      </w:r>
      <w:r>
        <w:rPr>
          <w:rFonts w:ascii="Times New Roman" w:cs="Times New Roman" w:eastAsia="Times New Roman" w:hAnsi="Times New Roman"/>
          <w:sz w:val="18"/>
          <w:szCs w:val="18"/>
          <w:u w:val="single" w:color="auto"/>
          <w:color w:val="auto"/>
        </w:rPr>
        <w:t>MHRA</w:t>
      </w:r>
      <w:r>
        <w:rPr>
          <w:rFonts w:ascii="Times New Roman" w:cs="Times New Roman" w:eastAsia="Times New Roman" w:hAnsi="Times New Roman"/>
          <w:sz w:val="18"/>
          <w:szCs w:val="18"/>
          <w:color w:val="auto"/>
        </w:rPr>
        <w:t>”) or comparable federal, state, local or foreign governmental bodies (it being understood that the interaction between the Company and its subsidiaries, and the FDA, the DEA, the EMA, the MHRA and such comparable governmental bodies relating to the clinical development and product approval process shall not be deemed proceedings for purposes of this representation), which is required to be described in the Registration Statement, the General Disclosure Package or the Prospectus and is not described therein, or which, singularly or in the aggregate, if determined adversely to the Company or any of its subsidiaries, could reasonably be expected to have a Material Adverse Effect; and no such proceedings are threatened in writing or, to the Company’s knowledge, contemplated by governmental or regulatory authorities. The Company is in compliance with all applicable federal, state, local and foreign laws, regulations, orders and decrees governing its business as prescribed by the FDA, the DEA, the EMA, the MHRA or any other federal, state or foreign agencies or bodies engaged in the regulation of pharmaceuticals or biohazardous substances or materials, except where noncompliance would not, singly or in the aggregate, have a Material Adverse Effect. 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as could not reasonably be expected to have, singly or in the aggregate, a Material Adverse Effect.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their respective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20" w:firstLine="656"/>
        <w:spacing w:after="0" w:line="254" w:lineRule="auto"/>
        <w:tabs>
          <w:tab w:leader="none" w:pos="12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constitution (or analogous governing instrument, as applicable), (ii)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(iii) in violation in any respect of any law, ordinance, governmental rule, regulation or court order, decree or judgment to which it or its property or assets may be subject (including, without limitation, those administered by the FDA, the DEA, the EMA, the MHRA or by any foreign, federal, state or local governmental or regulatory authority performing functions similar to those performed by the FDA, the DEA, the EMA, the MHRA) except, in the case of clauses (ii) through (iii) above, for any such violation or default that would not, singularly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2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or Permits</w:t>
      </w:r>
      <w:r>
        <w:rPr>
          <w:rFonts w:ascii="Times New Roman" w:cs="Times New Roman" w:eastAsia="Times New Roman" w:hAnsi="Times New Roman"/>
          <w:sz w:val="18"/>
          <w:szCs w:val="18"/>
          <w:color w:val="auto"/>
        </w:rPr>
        <w:t>. The Company and each of its subsidiaries possess all licenses, certificates, authorizations and permits issued by, and have made all declarations and filings with, the appropriate local, state, federal or foreign governmental or regulatory agencies or bodies (including, without limitation, those administered by the FDA, the DEA, the EMA, the MHRA and any other state, federal, national and foreign agencies or bodies performing similar functions to the FDA, the DEA, the EMA and MHRA or engaged in the regulation of pharmaceuticals or biohazardous materials) that are necessary for the ownership or lease of their respective properties or the conduct of their respective businesses as described in the General Disclosure Package and the Prospectus (collectively, the “</w:t>
      </w:r>
      <w:r>
        <w:rPr>
          <w:rFonts w:ascii="Times New Roman" w:cs="Times New Roman" w:eastAsia="Times New Roman" w:hAnsi="Times New Roman"/>
          <w:sz w:val="18"/>
          <w:szCs w:val="18"/>
          <w:u w:val="single" w:color="auto"/>
          <w:color w:val="auto"/>
        </w:rPr>
        <w:t>Governmental Permits</w:t>
      </w:r>
      <w:r>
        <w:rPr>
          <w:rFonts w:ascii="Times New Roman" w:cs="Times New Roman" w:eastAsia="Times New Roman" w:hAnsi="Times New Roman"/>
          <w:sz w:val="18"/>
          <w:szCs w:val="18"/>
          <w:color w:val="auto"/>
        </w:rPr>
        <w:t>”) except where any failures to possess or make the same would not, singularly or in the aggregate, reasonably be expected to have a Material Adverse Effect. The Company and its subsidiaries are in compliance with all such Governmental Permits, except where the failure so to comply would not, singularly or in the aggregate, reasonably be expected to result in a Material Adverse Effect; all such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which, singularly or in the aggregate, if the subject of an unfavorable decision, ruling or finding, would reasonably be expected to result in a Material Adverse Effect. The Company has no reason to believe that any such Governmental Permit will not be renewed, except where the failure to renew would not, singularly or in the aggregate, reasonably be expected to result in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reports, documents, forms, notices, applications, records, claims, submissions and supplements or amendments were complete and accurate on the date filed in all material respects (or were corrected or supplemented by a subsequent submission).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right="20" w:firstLine="656"/>
        <w:spacing w:after="0" w:line="251" w:lineRule="auto"/>
        <w:tabs>
          <w:tab w:leader="none" w:pos="13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The studies, tests and preclinical studies or clinical trials conducted by or on behalf of the Company that are described in the General Disclosure Package and the Prospectus (the “</w:t>
      </w:r>
      <w:r>
        <w:rPr>
          <w:rFonts w:ascii="Times New Roman" w:cs="Times New Roman" w:eastAsia="Times New Roman" w:hAnsi="Times New Roman"/>
          <w:sz w:val="18"/>
          <w:szCs w:val="18"/>
          <w:u w:val="single" w:color="auto"/>
          <w:color w:val="auto"/>
        </w:rPr>
        <w:t>Company Studies and Trials</w:t>
      </w:r>
      <w:r>
        <w:rPr>
          <w:rFonts w:ascii="Times New Roman" w:cs="Times New Roman" w:eastAsia="Times New Roman" w:hAnsi="Times New Roman"/>
          <w:sz w:val="18"/>
          <w:szCs w:val="18"/>
          <w:color w:val="auto"/>
        </w:rPr>
        <w:t>”) were and, if still pending, are being, conducted in all material respects with all applicable federal, state and foreign laws, rules, orders and regulations, as well as in accordance with experimental protocols that were submitted to the relevant regulatory authority; the descriptions of the results of the Company Studies and Trials contained in the Registration Statement, General Disclosure Package and Prospectus are accurate in all material respects; the Company has no knowledge of any other studies or trials not described in the General Disclosure Package and the Prospectus, the results of which are inconsistent with or call in question the results described or referred to in the General Disclosure Package and the Prospectus; and, except as set forth in the General Disclosure Package, the Company has not received any written notices or correspondence with the FDA, the DEA, the EMA, the MHRA or any foreign, state or local governmental body exercising comparable authority requiring the termination, suspension or material modification of any Company Studies or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In using or disclosing patient information received by the Company in connection with the Company Studies or Trials, the Company has complied in all material respects with all federal, state, local or foreign applicable laws and regulatory rules or requirements, including, without limitation, the Health Insurance Portability and Accountability Act of 1996 and the rules and regulations thereunder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Neither the Company, nor its subsidiaries or any of their respective directors, officers, employees or, to the Company’s knowledge, agents is or has been debarred, suspended or excluded, or has been convicted of any crime or, to the knowledge of the Company or its subsidiaries, engaged in any conduct that would result in a debarment, suspension or exclusion from any U.S. federal or state government health care program or human clinical research. To the Company’s knowledge, none of the Company Studies and Trials involved any investigator, as such term is defined in Title 21, Section 50.3 of the U.S. Code of Federal Regulations,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and regulations of the FDA, the DEA, the EMA, the MHRA or comparable regulatory agencies outside of the United States to which the Company is subject.</w:t>
      </w:r>
    </w:p>
    <w:p>
      <w:pPr>
        <w:spacing w:after="0" w:line="205" w:lineRule="exact"/>
        <w:rPr>
          <w:rFonts w:ascii="Times New Roman" w:cs="Times New Roman" w:eastAsia="Times New Roman" w:hAnsi="Times New Roman"/>
          <w:sz w:val="18"/>
          <w:szCs w:val="18"/>
          <w:color w:val="auto"/>
        </w:rPr>
      </w:pPr>
    </w:p>
    <w:p>
      <w:pPr>
        <w:ind w:firstLine="656"/>
        <w:spacing w:after="0" w:line="252" w:lineRule="auto"/>
        <w:tabs>
          <w:tab w:leader="none" w:pos="13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Neither the Company nor any of its subsidiaries has received any unresolved FDA Form 483, notice of adverse filing, warning letter, untitled letter or other correspondence or notice from the FDA, or any other court or arbitrator or federal, state, local, or foreign governmental or regulatory authority, alleging or asserting noncompliance with the Federal Food, Drug, and Cosmetic Act (21 U.S.C. § 301 et seq.) (the “FDCA”). The Company and its subsidiaries and their respective directors, officers, employees and agents are and have been in material compliance with applicable health care laws, including without limitation, the FDCA, the federal Anti-Kickback Statute (42 U.S.C. §1320a-7b(b)), the civil False Claims Act (31 U.S.C. §3729 et seq.), the criminal False Claims Law (42 U.S.C. §1320a-7b(a), 18 U.S.C. §§286 and 287, the Health Insurance Portability and Accountability Act of 1996 (42 U.S.C. § 1320d et seq.), as amended by the Health Information Technology for Economic and Clinical Health Act of 2009 (42 U.S.C. § 17921 et seq.), the exclusions law (42 U.S.C. §1320a-7), Medicare (Title XVIII of the Social Security Act), Medicaid (Title XIX of the Social Security Act), and the Patient Protection and Affordable Care Act of 2010, as amended by the Health Care and Education Reconciliation Act of 2010, including without limitation, the Physician Payments Sunshine Act (42 U.S.C. §1320a-7h),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The Company has not, either voluntarily or involuntarily, initiated, conducted or issued or caused to be initiated, conducted or issued, any recall of any clinical trial materials. Further, the Company and its subsidiaries have not received written notice of any claim, action, suit, proceeding, hearing, enforcement, investigation, arbitration or other action from any court or arbitrator or governmental or regulatory authority or third party alleging that any product operation of the Company or any of its subsidiaries is in violation of any Health Care Laws nor, to the Company’s knowledge, is any such claim, action, suit, proceeding, hearing, enforcement, investigation, arbitration or other action threatened, except as would not, singularly or in the aggregate, reasonably be expected to have a Material Adverse Effect.</w:t>
      </w:r>
    </w:p>
    <w:p>
      <w:pPr>
        <w:spacing w:after="0" w:line="193" w:lineRule="exact"/>
        <w:rPr>
          <w:rFonts w:ascii="Times New Roman" w:cs="Times New Roman" w:eastAsia="Times New Roman" w:hAnsi="Times New Roman"/>
          <w:sz w:val="18"/>
          <w:szCs w:val="18"/>
          <w:color w:val="auto"/>
        </w:rPr>
      </w:pPr>
    </w:p>
    <w:p>
      <w:pPr>
        <w:ind w:right="60" w:firstLine="656"/>
        <w:spacing w:after="0" w:line="258" w:lineRule="auto"/>
        <w:tabs>
          <w:tab w:leader="none" w:pos="13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Criminal Laws</w:t>
      </w:r>
      <w:r>
        <w:rPr>
          <w:rFonts w:ascii="Times New Roman" w:cs="Times New Roman" w:eastAsia="Times New Roman" w:hAnsi="Times New Roman"/>
          <w:sz w:val="18"/>
          <w:szCs w:val="18"/>
          <w:color w:val="auto"/>
        </w:rPr>
        <w:t>. Neither the Company nor any of its subsidiaries has engaged in, or will engage in, (i) any direct or indirect dealings or transactions in violation of applicable criminal laws, including, without limitation, the Controlled Substances Act of 1970, the Racketeering Influenced and Corrupt Practices Act of 1977, the Fraud Act of 2006, the Theft Act of 1968, the Travel Act of 1961 or any anti-money laundering statute, or (ii) any “aiding and abetting” in any violation of applicable criminal laws. No action, suit or proceeding by or before any court or governmental agency, authority or body or any arbitrator involving the Company or any of its subsidiaries with respect to applicable criminal laws is pending or threatened.</w:t>
      </w:r>
    </w:p>
    <w:p>
      <w:pPr>
        <w:spacing w:after="0" w:line="183" w:lineRule="exact"/>
        <w:rPr>
          <w:rFonts w:ascii="Times New Roman" w:cs="Times New Roman" w:eastAsia="Times New Roman" w:hAnsi="Times New Roman"/>
          <w:sz w:val="18"/>
          <w:szCs w:val="18"/>
          <w:color w:val="auto"/>
        </w:rPr>
      </w:pPr>
    </w:p>
    <w:p>
      <w:pPr>
        <w:ind w:right="140" w:firstLine="656"/>
        <w:spacing w:after="0" w:line="261" w:lineRule="auto"/>
        <w:tabs>
          <w:tab w:leader="none" w:pos="13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of its subsidiaries is or, after giving effect to the offering of the Shares and the application of the proceeds thereof as described in the General Disclosure Package and the Prospectus, will be required to register as an “investment company” or an entity “controlled” by an “investment company” within the meaning of the Investment Company Act of 1940, as amended, and the rules and regulations of the Commission thereunder.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280" w:firstLine="656"/>
        <w:spacing w:after="0" w:line="312" w:lineRule="auto"/>
        <w:tabs>
          <w:tab w:leader="none" w:pos="130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There are no business relationships or related person transactions involving the Company or any of its subsidiaries or any other person required to be described in the General Disclosure Package and the Prospectus that have not been described as required.</w:t>
      </w:r>
    </w:p>
    <w:p>
      <w:pPr>
        <w:spacing w:after="0" w:line="139" w:lineRule="exact"/>
        <w:rPr>
          <w:rFonts w:ascii="Times New Roman" w:cs="Times New Roman" w:eastAsia="Times New Roman" w:hAnsi="Times New Roman"/>
          <w:sz w:val="17"/>
          <w:szCs w:val="17"/>
          <w:color w:val="auto"/>
        </w:rPr>
      </w:pPr>
    </w:p>
    <w:p>
      <w:pPr>
        <w:jc w:val="both"/>
        <w:ind w:right="20" w:firstLine="656"/>
        <w:spacing w:after="0" w:line="266"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Neither the Company nor, to the Company’s knowledge,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w:t>
      </w:r>
    </w:p>
    <w:p>
      <w:pPr>
        <w:spacing w:after="0" w:line="175" w:lineRule="exact"/>
        <w:rPr>
          <w:rFonts w:ascii="Times New Roman" w:cs="Times New Roman" w:eastAsia="Times New Roman" w:hAnsi="Times New Roman"/>
          <w:sz w:val="18"/>
          <w:szCs w:val="18"/>
          <w:color w:val="auto"/>
        </w:rPr>
      </w:pPr>
    </w:p>
    <w:p>
      <w:pPr>
        <w:ind w:firstLine="656"/>
        <w:spacing w:after="0" w:line="251" w:lineRule="auto"/>
        <w:tabs>
          <w:tab w:leader="none" w:pos="129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would not reasonably be expected to have, singly or in the aggregate, a Material Adverse Effect, the Company and each of its subsidiaries own or possess the valid right to use all (i) patents, patent applications, trademark registrations, trademark applications, service mark applications, service mark registrations, Internet domain name registrations, copyright registrations, trade secret rights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and (ii) inventions, software, works of authorships, trademarks, service marks, trade names, databases, formulae, know how and other intellectual property (including trade secrets and other unpatented and/or unpatentable proprietary confidential information, systems, or procedures) (collectively, “Intellectual Property Assets”) necessary to conduct their respective businesses as currently conducted, and as proposed to be conducted and described in the General Disclosure Package and the Prospectus. To the Company’s knowledge, the Company and each of its subsidiaries’ respective businesses as now conducted and as proposed to be conducted as described in the Registration Statement, General Disclosure Package and the Prospectus do not and will not give rise to any infringement of, any misappropriation of, or other violation of, any valid and enforceable Intellectual Property Rights of any other party, in each case, except as would not reasonably be expected to have, singly or in the aggregate, a Material Adverse Effect. Except as would not reasonably be expected to have, singly or in the aggregate, a Material Adverse Effect, (x) to the Company’s knowledge, there is no infringement by third parties of any Intellectual Property Assets described in the Registration Statement, the General Disclosure Package and the Prospectus as being owned by or licensed to the Company, (y) all licenses for the use of the Intellectual Property Rights material to its business described in the Registration Statement, the General Disclosure Package and the Prospectus are valid, binding upon and enforceable by or against the Company or one or more of its subsidiaries and by or against the other parties thereto in accordance to their terms and (z) the Company and each of its subsidiaries has complied with, and has not received any written asserted or threatened claim of breach of, any license agreement for the use of Intellectual Property Rights to which it is party, and the Company has no knowledge of any breach or anticipated breach by any other party to any such license agreement. Except as described in the General Disclosure Package or as would not reasonably be expected to have, singly or in the aggregate, a Material Adverse Effect, there is no pending, or threatened in writing action, suit, proceeding, or claim against the Company or one or more of its subsidiaries (A) alleging the infringement by the Company or one or more of its subsidiaries of any Intellectual Property Rights of any third party; or (B) challenging the validity, enforceability, or scope of any Intellectual Property Rights owned by the Company, including any interferences, oppositions, reexaminations, or government proceedings, and the Company is unaware of any facts which would form a reasonable basis for any such action, suit, proceeding, or claim. Except as would not reasonably be expected to have, singly or in the aggregate, a Material Adverse Effect, (1) the Company and each of its subsidiaries have taken all reasonable steps to protect, maintain and safeguard their Intellectual Property Rights, including the execution of appropriate nondisclosure and confidentiality agreements, (2) the Company and each of its subsidiaries has taken all reasonable actions to obtain ownership of all works of authorship and inventions made by its employees, consultants and contractors during the time they were employed by or under contract with the Company or one or more of its subsidiaries and which relate to the Company’s business, (3) to the Company’s knowledge, no employee of the Company or any of its subsidiaries is in or has been in violation of any term of any patent disclosure agreement, invention assignment agreement or non-disclosure agreement and (4) all inventors of the Company’s patent applications or of any other inventions created on behalf of the Company have assigned or are obligated to assign their rights in such patent applications or other inventions to the Company, or one or more of its subsidiaries.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20" w:firstLine="656"/>
        <w:spacing w:after="0" w:line="251" w:lineRule="auto"/>
        <w:tabs>
          <w:tab w:leader="none" w:pos="12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Except as would not reasonably be expected to have, singly or in the aggregate, a Material Adverse Effect, the Company and its subsidiaries are, and at all prior times have been, in compliance with all applicable federal, state, local or foreign laws relating to privacy, data protection, and the collection, use, or other processing of Personal Data (as defined below) collected, used, or otherwise processed by the Company in the conduct of the Company’s business, including, without limitation, HIPAA, as amended by the Health Information Technology for Economic and Clinical Health Act (the “</w:t>
      </w:r>
      <w:r>
        <w:rPr>
          <w:rFonts w:ascii="Times New Roman" w:cs="Times New Roman" w:eastAsia="Times New Roman" w:hAnsi="Times New Roman"/>
          <w:sz w:val="18"/>
          <w:szCs w:val="18"/>
          <w:u w:val="single" w:color="auto"/>
          <w:color w:val="auto"/>
        </w:rPr>
        <w:t>HITECH Act</w:t>
      </w:r>
      <w:r>
        <w:rPr>
          <w:rFonts w:ascii="Times New Roman" w:cs="Times New Roman" w:eastAsia="Times New Roman" w:hAnsi="Times New Roman"/>
          <w:sz w:val="18"/>
          <w:szCs w:val="18"/>
          <w:color w:val="auto"/>
        </w:rPr>
        <w:t>”) (42 U.S.C. Section 17921 et seq.),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including as it continues to form part of law in the United Kingdom by virtue of section 3 of the European Union (Withdrawal) Act 2018 (the “</w:t>
      </w:r>
      <w:r>
        <w:rPr>
          <w:rFonts w:ascii="Times New Roman" w:cs="Times New Roman" w:eastAsia="Times New Roman" w:hAnsi="Times New Roman"/>
          <w:sz w:val="18"/>
          <w:szCs w:val="18"/>
          <w:u w:val="single" w:color="auto"/>
          <w:color w:val="auto"/>
        </w:rPr>
        <w:t>UK GDPR</w:t>
      </w:r>
      <w:r>
        <w:rPr>
          <w:rFonts w:ascii="Times New Roman" w:cs="Times New Roman" w:eastAsia="Times New Roman" w:hAnsi="Times New Roman"/>
          <w:sz w:val="18"/>
          <w:szCs w:val="18"/>
          <w:color w:val="auto"/>
        </w:rPr>
        <w:t>”) and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Except as would not reasonably be expected to have, singly or in the aggregate, a Material Adverse Effect, the Company and its subsidiaries take commercially reasonable steps to ensure compliance with its external privacy policy relating to the collection, storage, use, disclosure, security, handling, analysis or other processing of Personal Data. As used herein, “Personal Data” means (i) a natural persons’ name, street address, telephone number, email address, photograph, social security number, bank information, or customer or account number; (ii) any information which would qualify as “personally identifying information,” “personal information,” or similar term under the Federal Trade Commission Act or other Privacy Laws, as amended; (iii) “protected health information” as defined by HIPAA; (iv) “personal data” as defined by GDPR and the UK GDPR, as applicable; or (v) any other piece of information that allows the identification of such natural person, or his or her family, or permits the collection or analysis of any data related to an identified person’s health or sexual orientation. Except as would not reasonably be expected to have, singly or in the aggregate, a Material Adverse Effect, to the Company’s knowledge, (i) none of the disclosures made or contained in its external privacy policy have been inaccurate, misleading, deceptive or in violation of any Privacy Laws and (ii) the execution, delivery and performance of this Agreement or any other agreement referred to in this Agreement will not result in a breach of any Privacy Laws. Except as would not reasonably be expected to have, singly or in the aggregate, a Material Adverse Effect, neither the Company nor any of its subsidiaries,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w:t>
      </w:r>
    </w:p>
    <w:p>
      <w:pPr>
        <w:spacing w:after="0" w:line="205" w:lineRule="exact"/>
        <w:rPr>
          <w:rFonts w:ascii="Times New Roman" w:cs="Times New Roman" w:eastAsia="Times New Roman" w:hAnsi="Times New Roman"/>
          <w:sz w:val="18"/>
          <w:szCs w:val="18"/>
          <w:color w:val="auto"/>
        </w:rPr>
      </w:pPr>
    </w:p>
    <w:p>
      <w:pPr>
        <w:ind w:right="20" w:firstLine="656"/>
        <w:spacing w:after="0" w:line="253" w:lineRule="auto"/>
        <w:tabs>
          <w:tab w:leader="none" w:pos="1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Except as would not reasonably be expected to have, singly or in the aggregate, a Material Adverse Effect, (i)(x) there has been no actual or alleged security breach or attack or other compromise of or relating to any of the Company’s and its subsidiaries’ information technology and computer systems, networks, hardware, software, data (including any Personal Data and any other confidential or proprietary information in possession of the Company and its subsidiaries and the data of their respective customers, employees, suppliers, vendors and any other third party data maintained by or on behalf of the Company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its subsidiaries have not been notified in writing of, and have no knowledge of any event or condition that would reasonably be expected to result in, any security breach, attack or compromise to their IT Systems and Data, (ii) the Company and its subsidiaries have taken commercially reasonable steps to comply with, and to the Company’s knowledge, are presently in compliance with, all applicable laws, regulations and contractual obligations relating to the privacy and security of IT Systems and Data and to the protection of such IT Systems and Data from unauthorized use, access, misappropriation or modification and (iii) the Company and its subsidiaries have implemented commercially reasonable backup and disaster recovery technology consistent with industry standards and practice.</w:t>
      </w:r>
    </w:p>
    <w:p>
      <w:pPr>
        <w:spacing w:after="0" w:line="191" w:lineRule="exact"/>
        <w:rPr>
          <w:rFonts w:ascii="Times New Roman" w:cs="Times New Roman" w:eastAsia="Times New Roman" w:hAnsi="Times New Roman"/>
          <w:sz w:val="18"/>
          <w:szCs w:val="18"/>
          <w:color w:val="auto"/>
        </w:rPr>
      </w:pPr>
    </w:p>
    <w:p>
      <w:pPr>
        <w:ind w:firstLine="656"/>
        <w:spacing w:after="0" w:line="253" w:lineRule="auto"/>
        <w:tabs>
          <w:tab w:leader="none" w:pos="12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each of its subsidiaries have good and marketable title in and (in the case of real property) to, or have valid and marketable rights to lease or otherwise use, all items of real or personal property (other than intellectual property, which is addressed exclusively in Section 1(z)) which are material to the business of the Company and its subsidiaries taken as a whole, in each case free and clear of all liens, encumbrances, security interests, claims and defects that (i) do not, singularly or in the aggregate, materially affect the value of such property and do not materially interfere with the use made and proposed to be made of such property by the Company or any of its subsidiaries or (ii) could not reasonably be expected singularly or in the aggregate, to have a Material Adverse Effect; and all of the leases and subleases material to the business of the Company, and under which the Company holds properties described in the General Disclosure Package and the Prospectus,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right="20" w:firstLine="656"/>
        <w:spacing w:after="0" w:line="254" w:lineRule="auto"/>
        <w:tabs>
          <w:tab w:leader="none" w:pos="1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w:t>
      </w:r>
      <w:r>
        <w:rPr>
          <w:rFonts w:ascii="Times New Roman" w:cs="Times New Roman" w:eastAsia="Times New Roman" w:hAnsi="Times New Roman"/>
          <w:sz w:val="18"/>
          <w:szCs w:val="18"/>
          <w:color w:val="auto"/>
        </w:rPr>
        <w:t>.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and (B) no labor disturbance by or dispute with, employees of the Company or any of its subsidiaries exists or, to the Company’s knowledge, is contemplated or threatened, and the Company is not aware of any existing or imminent labor disturbance by the employees of any of its or any of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188" w:lineRule="exact"/>
        <w:rPr>
          <w:rFonts w:ascii="Times New Roman" w:cs="Times New Roman" w:eastAsia="Times New Roman" w:hAnsi="Times New Roman"/>
          <w:sz w:val="18"/>
          <w:szCs w:val="18"/>
          <w:color w:val="auto"/>
        </w:rPr>
      </w:pPr>
    </w:p>
    <w:p>
      <w:pPr>
        <w:ind w:right="40" w:firstLine="656"/>
        <w:spacing w:after="0" w:line="253" w:lineRule="auto"/>
        <w:tabs>
          <w:tab w:leader="none" w:pos="12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No “prohibited transaction” (as defined in Section 406 of the Employee Retirement Income Security Act of 1974, as amended, including the regulations and published interpretations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Section 4975 of the Internal Revenue Code of 1986, as amended from time to time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could, singularly or in the aggregate, reasonably be expected to have a Material Adverse Effect. Each employee benefit plan of the Company or any of its subsidiaries is in compliance in all material respects with applicable law, including ERISA and the Code. The Company and its subsidiaries have not incurred and could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to the Company’s knowledge, is so qualified, and, to the Company’s knowledge, nothing has occurred, whether by action or by failure to act, which could, singularly or in the aggregate, reasonably be expected to cause the loss of such qualification.</w:t>
      </w:r>
    </w:p>
    <w:p>
      <w:pPr>
        <w:spacing w:after="0" w:line="191" w:lineRule="exact"/>
        <w:rPr>
          <w:rFonts w:ascii="Times New Roman" w:cs="Times New Roman" w:eastAsia="Times New Roman" w:hAnsi="Times New Roman"/>
          <w:sz w:val="18"/>
          <w:szCs w:val="18"/>
          <w:color w:val="auto"/>
        </w:rPr>
      </w:pPr>
    </w:p>
    <w:p>
      <w:pPr>
        <w:ind w:firstLine="656"/>
        <w:spacing w:after="0" w:line="253" w:lineRule="auto"/>
        <w:tabs>
          <w:tab w:leader="none" w:pos="12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 and Hazardous Materials</w:t>
      </w:r>
      <w:r>
        <w:rPr>
          <w:rFonts w:ascii="Times New Roman" w:cs="Times New Roman" w:eastAsia="Times New Roman" w:hAnsi="Times New Roman"/>
          <w:sz w:val="18"/>
          <w:szCs w:val="18"/>
          <w:color w:val="auto"/>
        </w:rPr>
        <w:t>. The Company and its subsidiaries are in material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194" w:lineRule="exact"/>
        <w:rPr>
          <w:rFonts w:ascii="Times New Roman" w:cs="Times New Roman" w:eastAsia="Times New Roman" w:hAnsi="Times New Roman"/>
          <w:sz w:val="18"/>
          <w:szCs w:val="18"/>
          <w:color w:val="auto"/>
        </w:rPr>
      </w:pPr>
    </w:p>
    <w:p>
      <w:pPr>
        <w:ind w:right="80" w:firstLine="656"/>
        <w:spacing w:after="0" w:line="254" w:lineRule="auto"/>
        <w:tabs>
          <w:tab w:leader="none" w:pos="1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each (i) have timely filed all necessary U.S. federal, state, local and non-U.S. tax returns, and all such returns were true, complete and correct, (ii) have timely paid all U.S. federal, state, local and non-U.S. taxes for which it is liable, including, without limitation, all sales and use taxes and all taxes which the Company or any of its subsidiaries is obligated to withhold from amounts owing to current or former employees, officers, creditors and other third parties, except such taxes currently being contested in good faith and for which adequate reserves are being maintained, and the costs required to contest them have been disclosed, in its latest financial statements, and no penalties, fines, surcharges or interest have been incurred, and (iii) have not had any tax deficiency or claims outstanding or assessed or, to its knowledge, proposed against any of them, except those, in each of the cases described in clauses (i), (ii) and (iii) above, that would not, singularly or in the aggregate, have a Material Adverse Effect.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320" w:hanging="66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No stamp duty, stamp duty reserve tax, registration, documentary, issue, transfer or other similar taxes or duties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are payable in Ireland by or on behalf of the Agent, the Company or any of its subsidiaries in connection with (i) the issuance and delivery of the Shares by the Company to the Agent in the manner contemplated by this Agreement; (ii) the issuance, sale and delivery of the Shares to or for the account of the Agent, in the manner contemplated by this Agreement; (iii) the sale and delivery by the Agent of the Shares to purchasers thereof in the manner contemplated by this Agreement, through the facilities of the Depository Trust Company; or (iv) the execution and delivery of this Agreement.</w:t>
      </w:r>
    </w:p>
    <w:p>
      <w:pPr>
        <w:spacing w:after="0" w:line="189" w:lineRule="exact"/>
        <w:rPr>
          <w:sz w:val="20"/>
          <w:szCs w:val="20"/>
          <w:color w:val="auto"/>
        </w:rPr>
      </w:pPr>
    </w:p>
    <w:p>
      <w:pPr>
        <w:ind w:firstLine="656"/>
        <w:spacing w:after="0" w:line="266"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and Irish Tax Considerations</w:t>
      </w:r>
      <w:r>
        <w:rPr>
          <w:rFonts w:ascii="Times New Roman" w:cs="Times New Roman" w:eastAsia="Times New Roman" w:hAnsi="Times New Roman"/>
          <w:sz w:val="18"/>
          <w:szCs w:val="18"/>
          <w:color w:val="auto"/>
        </w:rPr>
        <w:t>. The statements contained in the General Disclosure Package and the Prospectus under the headings “Taxation,” insofar as they purport to describe the provisions of the laws and documents referred to therein, are accurate and fair in all material respects and are a complete summary description of the material U.S. and Irish tax consequences for certain beneficial holders of Ordinary Shares.</w:t>
      </w:r>
    </w:p>
    <w:p>
      <w:pPr>
        <w:spacing w:after="0" w:line="175"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13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DAC6</w:t>
      </w:r>
      <w:r>
        <w:rPr>
          <w:rFonts w:ascii="Times New Roman" w:cs="Times New Roman" w:eastAsia="Times New Roman" w:hAnsi="Times New Roman"/>
          <w:sz w:val="18"/>
          <w:szCs w:val="18"/>
          <w:color w:val="auto"/>
        </w:rPr>
        <w:t>. No transaction contemplated by this Agreement nor any transaction to be carried out by the Company in connection with any transaction contemplated by this Agreement meets any hallmark set out in Annex IV of the Council Directive of 25 May 2018 (2018/822/EU) amending Council Directive 2011/16/EU.</w:t>
      </w:r>
    </w:p>
    <w:p>
      <w:pPr>
        <w:spacing w:after="0" w:line="175" w:lineRule="exact"/>
        <w:rPr>
          <w:rFonts w:ascii="Times New Roman" w:cs="Times New Roman" w:eastAsia="Times New Roman" w:hAnsi="Times New Roman"/>
          <w:sz w:val="18"/>
          <w:szCs w:val="18"/>
          <w:color w:val="auto"/>
        </w:rPr>
      </w:pPr>
    </w:p>
    <w:p>
      <w:pPr>
        <w:ind w:firstLine="656"/>
        <w:spacing w:after="0" w:line="254" w:lineRule="auto"/>
        <w:tabs>
          <w:tab w:leader="none" w:pos="1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reasonably believes is adequate for the conduct of their respective businesses and the value of their respective properties, except where the failure to be so insured would not reasonably be expected to have a Material Adverse Effect on the Company and its subsidiaries, taken as a whole.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w:t>
      </w:r>
    </w:p>
    <w:p>
      <w:pPr>
        <w:spacing w:after="0" w:line="191" w:lineRule="exact"/>
        <w:rPr>
          <w:rFonts w:ascii="Times New Roman" w:cs="Times New Roman" w:eastAsia="Times New Roman" w:hAnsi="Times New Roman"/>
          <w:sz w:val="18"/>
          <w:szCs w:val="18"/>
          <w:color w:val="auto"/>
        </w:rPr>
      </w:pPr>
    </w:p>
    <w:p>
      <w:pPr>
        <w:ind w:right="60" w:firstLine="656"/>
        <w:spacing w:after="0" w:line="253"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and each of its subsidiaries maintains a system of “internal control over financial reporting” (as such term is defined in Rule 13a-15(f) of the 1934 Act Regulations) that is designed to comply with the requirements of the 1934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IFRS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fairly presents the Commission’s rules and guidelines applicable thereto. The Company’s internal control over financial reporting is effective. Except as described in the General Disclosure Package,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color w:val="auto"/>
        </w:rPr>
      </w:pPr>
    </w:p>
    <w:p>
      <w:pPr>
        <w:ind w:right="20" w:firstLine="656"/>
        <w:spacing w:after="0" w:line="256"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its subsidiaries maintain disclosure controls and procedures (as such is defined in Rule 13a-15(e) of the 1934 Act Regulations) that are designed to comply with the requirements of the 1934 Act applicable to the Company and its subsidiaries; such disclosure controls and procedures have been designed to ensure that information required to be disclosed by the Company and its subsidiaries in reports that they file or submit under the 1934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w:t>
      </w:r>
    </w:p>
    <w:p>
      <w:pPr>
        <w:spacing w:after="0" w:line="187" w:lineRule="exact"/>
        <w:rPr>
          <w:rFonts w:ascii="Times New Roman" w:cs="Times New Roman" w:eastAsia="Times New Roman" w:hAnsi="Times New Roman"/>
          <w:sz w:val="18"/>
          <w:szCs w:val="18"/>
          <w:color w:val="auto"/>
        </w:rPr>
      </w:pPr>
    </w:p>
    <w:p>
      <w:pPr>
        <w:ind w:right="20" w:firstLine="656"/>
        <w:spacing w:after="0" w:line="261" w:lineRule="auto"/>
        <w:tabs>
          <w:tab w:leader="none" w:pos="1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Minute Books</w:t>
      </w:r>
      <w:r>
        <w:rPr>
          <w:rFonts w:ascii="Times New Roman" w:cs="Times New Roman" w:eastAsia="Times New Roman" w:hAnsi="Times New Roman"/>
          <w:sz w:val="18"/>
          <w:szCs w:val="18"/>
          <w:color w:val="auto"/>
        </w:rPr>
        <w:t>. The minute books of the Company and each of its subsidiaries have been made available to the Agent and counsel for the Agent, and such books (i) contain a complete summary of all meetings and actions of the Board (including each Board committee) and shareholders of the Company (or analogous governing bodies and interest holders, as applicable) and each of its subsidiaries since the time of its respective incorporation or organization through the date of the latest meeting and action, and (ii) accurately in all material respects reflect all transactions referred to in such minutes.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right="40" w:firstLine="656"/>
        <w:spacing w:after="0" w:line="255" w:lineRule="auto"/>
        <w:tabs>
          <w:tab w:leader="none" w:pos="12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There is no license, lease, contract, or other agreement or document required by the 1933 Act or by the 1933 Act Regulations to be described in the General Disclosure Package or to be filed as an exhibit to the Registration Statement which is not so described therein or filed therewith as required; and all descriptions of any such licenses, leases, contracts, or other agreements or documents contained in the General Disclosure Package are accurate and complete descriptions of such documents in all material respects. Other than as described in the General Disclosure Package, no such license, lease, contract or other agreement has been suspended or terminated for convenience or default by the Company or any of the other parties thereto, and the Company and its subsidiaries have not received notice of and the Company does not have knowledge of any such pending or threatened suspension or termination.</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shareholders (or analogous interest holders), customers or suppliers of the Company or any of its affiliates on the other hand, which is required to be described in the General Disclosure Package and the Prospectus and which is not so described.</w:t>
      </w:r>
    </w:p>
    <w:p>
      <w:pPr>
        <w:spacing w:after="0" w:line="175" w:lineRule="exact"/>
        <w:rPr>
          <w:rFonts w:ascii="Times New Roman" w:cs="Times New Roman" w:eastAsia="Times New Roman" w:hAnsi="Times New Roman"/>
          <w:sz w:val="18"/>
          <w:szCs w:val="18"/>
          <w:color w:val="auto"/>
        </w:rPr>
      </w:pPr>
    </w:p>
    <w:p>
      <w:pPr>
        <w:ind w:right="60" w:firstLine="656"/>
        <w:spacing w:after="0" w:line="258" w:lineRule="auto"/>
        <w:tabs>
          <w:tab w:leader="none" w:pos="13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No person or entity has the right to require registration of Ordinary Shares or other securities of the Company or any of its subsidiaries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General Disclosure Package, there are no persons with registration rights or similar rights to have any securities registered by the Company or any of its subsidiaries under the 1933 Act.</w:t>
      </w:r>
    </w:p>
    <w:p>
      <w:pPr>
        <w:spacing w:after="0" w:line="183" w:lineRule="exact"/>
        <w:rPr>
          <w:rFonts w:ascii="Times New Roman" w:cs="Times New Roman" w:eastAsia="Times New Roman" w:hAnsi="Times New Roman"/>
          <w:sz w:val="18"/>
          <w:szCs w:val="18"/>
          <w:color w:val="auto"/>
        </w:rPr>
      </w:pPr>
    </w:p>
    <w:p>
      <w:pPr>
        <w:ind w:firstLine="656"/>
        <w:spacing w:after="0" w:line="266" w:lineRule="auto"/>
        <w:tabs>
          <w:tab w:leader="none" w:pos="12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The application of the proceeds received by the Company from the issuance, sale and delivery of the Shares as described in the General Disclosure Package and the Prospectus will not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13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the Company or any of its subsidiaries or the Agent for a brokerage commission, finder’s fee or like payment in connection with the offering and sale of the Shares or any transaction contemplated by this Agreement, the Registration Statement, the General Disclosure Package or the Prospectus.</w:t>
      </w:r>
    </w:p>
    <w:p>
      <w:pPr>
        <w:spacing w:after="0" w:line="179" w:lineRule="exact"/>
        <w:rPr>
          <w:rFonts w:ascii="Times New Roman" w:cs="Times New Roman" w:eastAsia="Times New Roman" w:hAnsi="Times New Roman"/>
          <w:sz w:val="18"/>
          <w:szCs w:val="18"/>
          <w:color w:val="auto"/>
        </w:rPr>
      </w:pPr>
    </w:p>
    <w:p>
      <w:pPr>
        <w:ind w:right="160" w:firstLine="656"/>
        <w:spacing w:after="0" w:line="258" w:lineRule="auto"/>
        <w:tabs>
          <w:tab w:leader="none" w:pos="1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Except as described in the General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share capital, from repaying to the Company any loans or advances to such subsidiary from the Company or from transferring any of such subsidiary’s properties or assets to the Company or any other subsidiary of the Company.</w:t>
      </w:r>
    </w:p>
    <w:p>
      <w:pPr>
        <w:spacing w:after="0" w:line="183" w:lineRule="exact"/>
        <w:rPr>
          <w:rFonts w:ascii="Times New Roman" w:cs="Times New Roman" w:eastAsia="Times New Roman" w:hAnsi="Times New Roman"/>
          <w:sz w:val="18"/>
          <w:szCs w:val="18"/>
          <w:color w:val="auto"/>
        </w:rPr>
      </w:pPr>
    </w:p>
    <w:p>
      <w:pPr>
        <w:ind w:right="60" w:firstLine="656"/>
        <w:spacing w:after="0" w:line="254" w:lineRule="auto"/>
        <w:tabs>
          <w:tab w:leader="none" w:pos="13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Except as disclosed in the Registration Statement, the General Disclosure Package and the Prospectus, no approvals are currently required in Ireland in order for the Company to pay dividends or other distributions declared by the Company to the holders of Ordinary Shares. Under current laws and regulations of Ireland, any amount payable with respect to the Ordinary Shares upon liquidation of the Company or upon redemption thereof and dividends and other distributions declared and payable on the share capital of the Company and its subsidiaries may be paid by the Company or the relevant subsidiary in United States dollars or euros and freely transferred out of Ireland, subject to applicable anti-money laundering laws or sanctions and except as set forth or contemplated in the General Disclosure Package, no such payments made to the holders thereof or therein who are non-residents of Ireland who hold their Ordinary Shares as an investment and not in connection with any trade carried on by them and which are not attributable to a permanent establishment in Ireland, will be subject to income, withholding or other taxes under laws and regulations of Ireland or taxing authority thereof or therein and without the necessity of obtaining any governmental authorization in Ireland.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20" w:firstLine="656"/>
        <w:spacing w:after="0" w:line="258" w:lineRule="auto"/>
        <w:tabs>
          <w:tab w:leader="none" w:pos="1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No order has been made or petition or application presented or resolution passed by the Company or any of its subsidiaries or any of their respective directors for the winding up of the Company or any of its subsidiaries or for the appointment of a liquidator or examiner to the Company or any of its subsidiaries; no receiver or examiner has been appointed by any person of the whole or any part of the business or assets of the Company or any of its subsidiaries; and, to the Company’s knowledge, no equivalent steps or action are being undertaken, or equivalent circumstances exist, in any jurisdiction outside Ireland.</w:t>
      </w:r>
    </w:p>
    <w:p>
      <w:pPr>
        <w:spacing w:after="0" w:line="183" w:lineRule="exact"/>
        <w:rPr>
          <w:rFonts w:ascii="Times New Roman" w:cs="Times New Roman" w:eastAsia="Times New Roman" w:hAnsi="Times New Roman"/>
          <w:sz w:val="18"/>
          <w:szCs w:val="18"/>
          <w:color w:val="auto"/>
        </w:rPr>
      </w:pPr>
    </w:p>
    <w:p>
      <w:pPr>
        <w:ind w:right="20" w:firstLine="656"/>
        <w:spacing w:after="0" w:line="266" w:lineRule="auto"/>
        <w:tabs>
          <w:tab w:leader="none" w:pos="12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1933 Act and Section 21E of the 1934 Act) contained in either the General Disclosure Package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ind w:right="200" w:firstLine="656"/>
        <w:spacing w:after="0" w:line="266" w:lineRule="auto"/>
        <w:tabs>
          <w:tab w:leader="none" w:pos="1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to the Company’s knowledge, any of the Company’s officers or directors, in their capacities as such, to comply with any applicable provision of the Sarbanes-Oxley Act of 2002 and the rules and regulations promulgated in connection therewith that are applicable to the Company as of the date hereof, including Section 402 related to loans.</w:t>
      </w:r>
    </w:p>
    <w:p>
      <w:pPr>
        <w:spacing w:after="0" w:line="175" w:lineRule="exact"/>
        <w:rPr>
          <w:rFonts w:ascii="Times New Roman" w:cs="Times New Roman" w:eastAsia="Times New Roman" w:hAnsi="Times New Roman"/>
          <w:sz w:val="18"/>
          <w:szCs w:val="18"/>
          <w:color w:val="auto"/>
        </w:rPr>
      </w:pPr>
    </w:p>
    <w:p>
      <w:pPr>
        <w:ind w:firstLine="656"/>
        <w:spacing w:after="0" w:line="253" w:lineRule="auto"/>
        <w:tabs>
          <w:tab w:leader="none" w:pos="1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Neither the Company nor its subsidiaries nor any, to the Company’s knowledge, director, officer, employee, agent, affiliate or other person acting on behalf of the Company or any subsidiary, has (i) used any corporate funds for unlawful contributions, gifts, entertainment or other unlawful expenses relating to political activity, (ii) made or taken an act in furtherance of an offer, promise, or authorization of any direct or indirect unlawful payment to any foreign or domestic government official or employee, including of any government-owned or controlled entity or of any of the foregoing, or any political party or party official, or candidate for political office, (iii) violated or is in violation of any applicable provision of the U.S. Foreign Corrupt Practices Act of 1977, as amended, or any applicable anti-corruption laws, rules, or regulations of Ireland, including, without limitation, the UK Bribery Act 2010, as amended, the Criminal Justice (Corruption Offences) Act 2018 of Ireland or any other applicable anti-corruption or anti-bribery laws, rules, or regulations (iv) made, offered, authorized, requested, or taken an act in furtherance of any other unlawful bribe, rebate, payoff, influence payment, kickback, or other unlawful or improper payment or benefit to any person. The Company and its subsidiaries have instituted, maintain and enforce, and will continue to maintain and enforce policies and procedures designed to promote and ensure compliance with all applicable anti-bribery and anti-corruption laws.</w:t>
      </w:r>
    </w:p>
    <w:p>
      <w:pPr>
        <w:spacing w:after="0" w:line="191" w:lineRule="exact"/>
        <w:rPr>
          <w:rFonts w:ascii="Times New Roman" w:cs="Times New Roman" w:eastAsia="Times New Roman" w:hAnsi="Times New Roman"/>
          <w:sz w:val="18"/>
          <w:szCs w:val="18"/>
          <w:color w:val="auto"/>
        </w:rPr>
      </w:pPr>
    </w:p>
    <w:p>
      <w:pPr>
        <w:ind w:right="280" w:firstLine="656"/>
        <w:spacing w:after="0" w:line="258" w:lineRule="auto"/>
        <w:tabs>
          <w:tab w:leader="none" w:pos="12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General Disclosure Package and the Prospectus. All transactions by the Company with office holders or control persons of the Company have been duly approved by the Board, or duly appointed committees or officers thereof, if and to the extent required under U.S. law.</w:t>
      </w:r>
    </w:p>
    <w:p>
      <w:pPr>
        <w:spacing w:after="0" w:line="183" w:lineRule="exact"/>
        <w:rPr>
          <w:sz w:val="20"/>
          <w:szCs w:val="20"/>
          <w:color w:val="auto"/>
        </w:rPr>
      </w:pPr>
    </w:p>
    <w:p>
      <w:pPr>
        <w:ind w:right="520" w:firstLine="656"/>
        <w:spacing w:after="0" w:line="266" w:lineRule="auto"/>
        <w:tabs>
          <w:tab w:leader="none" w:pos="1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 Data</w:t>
      </w:r>
      <w:r>
        <w:rPr>
          <w:rFonts w:ascii="Times New Roman" w:cs="Times New Roman" w:eastAsia="Times New Roman" w:hAnsi="Times New Roman"/>
          <w:sz w:val="18"/>
          <w:szCs w:val="18"/>
          <w:color w:val="auto"/>
        </w:rPr>
        <w:t>. The statistical and market related data included in the Registration Statement, the General Disclosure Package and the Prospectus are based on or derived from sources that the Company believes to be reliable and accurate, and such data agree with the sources from which they are derived.</w:t>
      </w:r>
    </w:p>
    <w:p>
      <w:pPr>
        <w:spacing w:after="0" w:line="175" w:lineRule="exact"/>
        <w:rPr>
          <w:rFonts w:ascii="Times New Roman" w:cs="Times New Roman" w:eastAsia="Times New Roman" w:hAnsi="Times New Roman"/>
          <w:sz w:val="18"/>
          <w:szCs w:val="18"/>
          <w:color w:val="auto"/>
        </w:rPr>
      </w:pPr>
    </w:p>
    <w:p>
      <w:pPr>
        <w:ind w:right="20" w:firstLine="656"/>
        <w:spacing w:after="0" w:line="273" w:lineRule="auto"/>
        <w:tabs>
          <w:tab w:leader="none" w:pos="130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Money Laundering Laws</w:t>
      </w:r>
      <w:r>
        <w:rPr>
          <w:rFonts w:ascii="Times New Roman" w:cs="Times New Roman" w:eastAsia="Times New Roman" w:hAnsi="Times New Roman"/>
          <w:sz w:val="17"/>
          <w:szCs w:val="17"/>
          <w:color w:val="auto"/>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1" w:lineRule="exact"/>
        <w:rPr>
          <w:rFonts w:ascii="Times New Roman" w:cs="Times New Roman" w:eastAsia="Times New Roman" w:hAnsi="Times New Roman"/>
          <w:sz w:val="17"/>
          <w:szCs w:val="17"/>
          <w:color w:val="auto"/>
        </w:rPr>
      </w:pPr>
    </w:p>
    <w:p>
      <w:pPr>
        <w:ind w:left="1280" w:hanging="624"/>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right="20" w:firstLine="656"/>
        <w:spacing w:after="0" w:line="255" w:lineRule="auto"/>
        <w:tabs>
          <w:tab w:leader="none" w:pos="13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its subsidiaries nor any directors, officers or employees nor, to the Company’s knowledge, any agent or controlled affiliate acting on behalf of the Company or its subsidiaries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that is, or is owned or controlled by a Person that is: (i) the subject of any sanctions administered or enforced by the U.S. Department of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“Sanctions”), nor (ii) located, organized or resident in a country or territory that is the subject of Sanctions (including, without limitation, Cuba, Iran, North Korea, Syria (before July 1, 2025), and the Crimea, so-called Donetsk People’s Republic and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60" w:firstLine="656"/>
        <w:spacing w:after="0" w:line="261" w:lineRule="auto"/>
        <w:tabs>
          <w:tab w:leader="none" w:pos="1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 (i) to fund or facilitate any activities or business of or with any Person that, at the time of such funding or facilitation, is the subject of Sanctions, or in any Sanctioned Country; or (ii) in any other manner that will result in a violation of Sanctions by any Person (including any Person participating in the offering, whether as underwriter, advisor, investor or otherwise).</w:t>
      </w:r>
    </w:p>
    <w:p>
      <w:pPr>
        <w:spacing w:after="0" w:line="179" w:lineRule="exact"/>
        <w:rPr>
          <w:rFonts w:ascii="Times New Roman" w:cs="Times New Roman" w:eastAsia="Times New Roman" w:hAnsi="Times New Roman"/>
          <w:sz w:val="18"/>
          <w:szCs w:val="18"/>
          <w:color w:val="auto"/>
        </w:rPr>
      </w:pPr>
    </w:p>
    <w:p>
      <w:pPr>
        <w:ind w:right="220" w:firstLine="656"/>
        <w:spacing w:after="0" w:line="266" w:lineRule="auto"/>
        <w:tabs>
          <w:tab w:leader="none" w:pos="1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incorporation, the Company and its subsidiaries have not knowingly engaged in, are not now knowingly engaged in, and will not knowingly engage in, any direct or indirect dealings or transactions with any Person that at the time of the dealing or transaction is or was the subject of Sanctions or any Sanctioned Country.</w:t>
      </w:r>
    </w:p>
    <w:p>
      <w:pPr>
        <w:spacing w:after="0" w:line="176" w:lineRule="exact"/>
        <w:rPr>
          <w:sz w:val="20"/>
          <w:szCs w:val="20"/>
          <w:color w:val="auto"/>
        </w:rPr>
      </w:pPr>
    </w:p>
    <w:p>
      <w:pPr>
        <w:ind w:firstLine="656"/>
        <w:spacing w:after="0" w:line="261" w:lineRule="auto"/>
        <w:tabs>
          <w:tab w:leader="none" w:pos="13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Associated Persons; FINRA Matters</w:t>
      </w:r>
      <w:r>
        <w:rPr>
          <w:rFonts w:ascii="Times New Roman" w:cs="Times New Roman" w:eastAsia="Times New Roman" w:hAnsi="Times New Roman"/>
          <w:sz w:val="18"/>
          <w:szCs w:val="18"/>
          <w:color w:val="auto"/>
        </w:rPr>
        <w:t>. Neither the Company nor any of its affiliates (within the meaning of FINRA Rule 5121(f)(1)) directly or indirectly controls, is controlled by, or is under common control with, or is an associated person (within the meaning of Article I, Section 1(rr) of the By-laws of FINRA) of, any member firm of FINRA. The Company qualifies as an “experienced issuer” (within the meaning of FINRA Conduct Rule 5110(j)(6)) for purposes of the exemption from filing under FINRA Conduct Rule 5110(h)(1)(C).</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Regarding Beneficial Owners</w:t>
      </w:r>
      <w:r>
        <w:rPr>
          <w:rFonts w:ascii="Times New Roman" w:cs="Times New Roman" w:eastAsia="Times New Roman" w:hAnsi="Times New Roman"/>
          <w:sz w:val="18"/>
          <w:szCs w:val="18"/>
          <w:color w:val="auto"/>
        </w:rPr>
        <w:t>. If requested by the Agent, the Company has delivered to the Agent a properly completed and executed Certification Regarding Beneficial Owners of Legal Entity Customers, and, if required, copies of identifying documentation.</w:t>
      </w:r>
    </w:p>
    <w:p>
      <w:pPr>
        <w:spacing w:after="0" w:line="161" w:lineRule="exact"/>
        <w:rPr>
          <w:rFonts w:ascii="Times New Roman" w:cs="Times New Roman" w:eastAsia="Times New Roman" w:hAnsi="Times New Roman"/>
          <w:sz w:val="18"/>
          <w:szCs w:val="18"/>
          <w:color w:val="auto"/>
        </w:rPr>
      </w:pPr>
    </w:p>
    <w:p>
      <w:pPr>
        <w:ind w:right="40" w:firstLine="656"/>
        <w:spacing w:after="0" w:line="266" w:lineRule="auto"/>
        <w:tabs>
          <w:tab w:leader="none" w:pos="13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Acquisitions or Dispositions</w:t>
      </w:r>
      <w:r>
        <w:rPr>
          <w:rFonts w:ascii="Times New Roman" w:cs="Times New Roman" w:eastAsia="Times New Roman" w:hAnsi="Times New Roman"/>
          <w:sz w:val="18"/>
          <w:szCs w:val="18"/>
          <w:color w:val="auto"/>
        </w:rPr>
        <w:t>. Except as are described in the Registration Statement, the General Disclosure Package and the Prospectus, there are no contracts, letters of intent, term sheets, agreement, arrangements or understandings with respect to the direct or indirect acquisition or disposition by the Company of material interests in real or personal property.</w:t>
      </w:r>
    </w:p>
    <w:p>
      <w:pPr>
        <w:spacing w:after="0" w:line="175" w:lineRule="exact"/>
        <w:rPr>
          <w:rFonts w:ascii="Times New Roman" w:cs="Times New Roman" w:eastAsia="Times New Roman" w:hAnsi="Times New Roman"/>
          <w:sz w:val="18"/>
          <w:szCs w:val="18"/>
          <w:color w:val="auto"/>
        </w:rPr>
      </w:pPr>
    </w:p>
    <w:p>
      <w:pPr>
        <w:ind w:firstLine="656"/>
        <w:spacing w:after="0" w:line="254" w:lineRule="auto"/>
        <w:tabs>
          <w:tab w:leader="none" w:pos="13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choice of the laws of the State of New York as the governing law of this Agreement is a valid choice of law under the laws of Ireland and will be honored by courts in Ireland except as may be limited by general principles of equity. The Company has the corporate power to submit, and pursuant to Section 15 of this Agreement, has legally, validly, effectively and irrevocably submitted, to the personal jurisdiction of each New York State and United States federal court sitting in The City of New York, New York (each, a “New York Court”)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General Disclosure Package, the Prospectus or the offering of the Shares in any New York Court and service of process effected on such authorized agent will be effective to notify the Company of any action under this Agreement.</w:t>
      </w:r>
    </w:p>
    <w:p>
      <w:pPr>
        <w:spacing w:after="0" w:line="191" w:lineRule="exact"/>
        <w:rPr>
          <w:rFonts w:ascii="Times New Roman" w:cs="Times New Roman" w:eastAsia="Times New Roman" w:hAnsi="Times New Roman"/>
          <w:sz w:val="18"/>
          <w:szCs w:val="18"/>
          <w:color w:val="auto"/>
        </w:rPr>
      </w:pPr>
    </w:p>
    <w:p>
      <w:pPr>
        <w:jc w:val="both"/>
        <w:ind w:right="160" w:firstLine="656"/>
        <w:spacing w:after="0" w:line="266" w:lineRule="auto"/>
        <w:tabs>
          <w:tab w:leader="none" w:pos="13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Upon execution and delivery this Agreement will be in proper legal form to be enforceable under the laws of Ireland in accordance with its terms; to ensure the legality, validity, enforceability or admissibility into evidence in Ireland of this Agreement it is not necessary that this Agreement be filed or recorded with any court or other authority in Ireland (other than court filings in the ordinary course of proceedings)</w:t>
      </w:r>
      <w:r>
        <w:rPr>
          <w:rFonts w:ascii="Times New Roman" w:cs="Times New Roman" w:eastAsia="Times New Roman" w:hAnsi="Times New Roman"/>
          <w:sz w:val="18"/>
          <w:szCs w:val="18"/>
          <w:u w:val="single" w:color="auto"/>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firstLine="656"/>
        <w:spacing w:after="0" w:line="253" w:lineRule="auto"/>
        <w:tabs>
          <w:tab w:leader="none" w:pos="1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Judgment</w:t>
      </w:r>
      <w:r>
        <w:rPr>
          <w:rFonts w:ascii="Times New Roman" w:cs="Times New Roman" w:eastAsia="Times New Roman" w:hAnsi="Times New Roman"/>
          <w:sz w:val="18"/>
          <w:szCs w:val="18"/>
          <w:color w:val="auto"/>
        </w:rPr>
        <w:t>. Any final judgment for a fixed or readily calculable sum of money rendered by a New York Court having jurisdiction under its own domestic laws and recognized by the Irish courts as having jurisdiction (according to Irish conflicts of laws principles and rules of Irish private international laws at the time when proceedings were initiated) to give such final judgment in respect of any suit, action or proceeding against the Company based upon this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Ireland; provided, however, (i) adequate service of process has been effected and the defendant has had a reasonable opportunity to be heard, (ii) such judgments or the enforcement thereof are not contrary to the law, public policy, security or sovereignty of Ireland, (iii) such judgments were not obtained by fraudulent means and do not conflict with any other valid judgment in the same matter between the same parties, (iv) an action between the same parties in the same matter is not pending in any Irish court at the time the lawsuit is instituted in the foreign court and (v) the procedural rules of the court giving the judgment have been observed. The Company is not aware of any reason why the enforcement in Ireland of such a New York Court judgment would be, as of the date hereof, contrary to public policy of Ireland.</w:t>
      </w:r>
    </w:p>
    <w:p>
      <w:pPr>
        <w:spacing w:after="0" w:line="189" w:lineRule="exact"/>
        <w:rPr>
          <w:rFonts w:ascii="Times New Roman" w:cs="Times New Roman" w:eastAsia="Times New Roman" w:hAnsi="Times New Roman"/>
          <w:sz w:val="18"/>
          <w:szCs w:val="18"/>
          <w:color w:val="auto"/>
        </w:rPr>
      </w:pPr>
    </w:p>
    <w:p>
      <w:pPr>
        <w:ind w:right="20" w:firstLine="656"/>
        <w:spacing w:after="0" w:line="254" w:lineRule="auto"/>
        <w:tabs>
          <w:tab w:leader="none" w:pos="1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w:t>
      </w:r>
      <w:r>
        <w:rPr>
          <w:rFonts w:ascii="Times New Roman" w:cs="Times New Roman" w:eastAsia="Times New Roman" w:hAnsi="Times New Roman"/>
          <w:sz w:val="18"/>
          <w:szCs w:val="18"/>
          <w:color w:val="auto"/>
        </w:rPr>
        <w:t>. Except as provided by laws or statutes generally applicable to transactions of the type described in this Agreement, neither the Company nor any of its respective properties, assets or revenues has any right of immunity under the laws of Ireland, New York or the United States, from any legal action, suit or proceeding, from the giving of any relief in any such legal action, suit or proceeding, from set-off or counterclaim, from the jurisdiction of any court in Ireland, or,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15 of this Agreement.</w:t>
      </w:r>
    </w:p>
    <w:p>
      <w:pPr>
        <w:spacing w:after="0" w:line="188" w:lineRule="exact"/>
        <w:rPr>
          <w:rFonts w:ascii="Times New Roman" w:cs="Times New Roman" w:eastAsia="Times New Roman" w:hAnsi="Times New Roman"/>
          <w:sz w:val="18"/>
          <w:szCs w:val="18"/>
          <w:color w:val="auto"/>
        </w:rPr>
      </w:pPr>
    </w:p>
    <w:p>
      <w:pPr>
        <w:jc w:val="both"/>
        <w:ind w:right="140" w:firstLine="656"/>
        <w:spacing w:after="0" w:line="281" w:lineRule="auto"/>
        <w:tabs>
          <w:tab w:leader="none" w:pos="130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1934 Act Registration</w:t>
      </w:r>
      <w:r>
        <w:rPr>
          <w:rFonts w:ascii="Times New Roman" w:cs="Times New Roman" w:eastAsia="Times New Roman" w:hAnsi="Times New Roman"/>
          <w:sz w:val="17"/>
          <w:szCs w:val="17"/>
          <w:color w:val="auto"/>
        </w:rPr>
        <w:t>. The Ordinary Shares are registered pursuant to Section 12(b) or 12(g) of the 1934 Act and are listed on Nasdaq, and the Company has taken no action designed to, or likely to have the effect of, terminating the registration of the Ordinary Shares under the 1934 Act or delisting the Ordinary Shares from the Nasdaq, nor has the Company received any written notification that the Commission or Nasdaq is contemplating terminating such registration or listing. To the Company’s knowledge, it is in compliance with all applicable listing requirements of Nasdaq.</w:t>
      </w:r>
    </w:p>
    <w:p>
      <w:pPr>
        <w:spacing w:after="0" w:line="164" w:lineRule="exact"/>
        <w:rPr>
          <w:rFonts w:ascii="Times New Roman" w:cs="Times New Roman" w:eastAsia="Times New Roman" w:hAnsi="Times New Roman"/>
          <w:sz w:val="17"/>
          <w:szCs w:val="17"/>
          <w:color w:val="auto"/>
        </w:rPr>
      </w:pPr>
    </w:p>
    <w:p>
      <w:pPr>
        <w:ind w:right="300" w:firstLine="656"/>
        <w:spacing w:after="0" w:line="266" w:lineRule="auto"/>
        <w:tabs>
          <w:tab w:leader="none" w:pos="1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 Security Program</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1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ATM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62"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or on behalf of the Company and delivered to the Agent or to counsel for the Agent shall be deemed to be a representation and warranty by the Company to the Agent as to the matters covered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8" w:lineRule="auto"/>
        <w:tabs>
          <w:tab w:leader="none" w:pos="12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Company agrees to issue and sell exclusively through the Agent acting as sales agent or directly to the Agent acting as principal from time to time, and the Agent agrees to use its commercially reasonable efforts to sell as sales agent for the Company, the Shares. Sales of the Shares, if any, through the Agent acting as sales agent or directly to the Agent acting as principal may be made in negotiated transactions or transactions that are deemed to be “at-the-market offerings” as defined in Rule 415(a)(4) under the 1933 Act, including sales made directly on the Nasdaq.</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20" w:firstLine="656"/>
        <w:spacing w:after="0" w:line="252" w:lineRule="auto"/>
        <w:tabs>
          <w:tab w:leader="none" w:pos="13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as shall be agreed to by the Company and the Agent on that trading day (other than a day on which the Nasdaq is scheduled to close prior to its regular weekday closing time, each,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that the Company has satisfied its obligations under Section 6 of this Agreement and that the Company has instructed the Agent to make such sales. For the avoidance of doubt, the foregoing limitation shall not apply to sales solely to employees or security holders of the Company or its subsidiaries, or to a trustee or other person acquiring such securities for the accounts of such persons in which Stifel Nicolaus is acting for the Company in a capacity other than as Agent under this Agreement. On any Trading Day, the Company may instruct the Agent by telephone (confirmed promptly by telecopy or email by any of the individuals from the Company set forth on Schedule 1 hereto and shall be addressed to each of the individuals from the Agent set forth on Schedule 1 hereto, which confirmation will be promptly acknowledged by the Agent) as to the maximum number of Shares to be sold by the Agent on such day (in any event not in excess of the number available for issuance under the Prospectus and the currently effective Registration Statement) and the minimum price per Share at which such Shares may be sold. Subject to the terms and conditions hereof, the Agent shall use its commercially reasonable efforts to sell as sales agent all of the Shares so designated by the Company. The Company and the Agent each acknowledge and agree that (A) there can be no assurance that the Agent will be successful in selling the Shares, (B) the Agent will incur no liability or obligation to the Company or any other person or entity if they do not sell Shares for any reason other than a failure by the Agent to use its commercially reasonable efforts consistent with its normal trading and sales practices and applicable law and regulations to sell such Shares as required by this Agreement, and (C) the Agent shall be under no obligation to purchase Shares on a principal basis except as otherwise specifically agreed by each of the Agent and the Company pursuant to a Terms Agreement. In the event of a conflict between the terms of this Agreement and the terms of a Terms Agreement, the terms of such Terms Agreement will control.</w:t>
      </w:r>
    </w:p>
    <w:p>
      <w:pPr>
        <w:spacing w:after="0" w:line="194" w:lineRule="exact"/>
        <w:rPr>
          <w:rFonts w:ascii="Times New Roman" w:cs="Times New Roman" w:eastAsia="Times New Roman" w:hAnsi="Times New Roman"/>
          <w:sz w:val="18"/>
          <w:szCs w:val="18"/>
          <w:color w:val="auto"/>
        </w:rPr>
      </w:pPr>
    </w:p>
    <w:p>
      <w:pPr>
        <w:ind w:right="40" w:firstLine="656"/>
        <w:spacing w:after="0" w:line="276" w:lineRule="auto"/>
        <w:tabs>
          <w:tab w:leader="none" w:pos="129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Company shall not authorize the issuance and sale of, and the Agent as sales agent shall not be obligated to use its commercially reasonable efforts to sell, any Shares (i) at a price lower than the minimum price therefor authorized from time to time, or</w:t>
      </w:r>
    </w:p>
    <w:p>
      <w:pPr>
        <w:ind w:firstLine="8"/>
        <w:spacing w:after="0" w:line="25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number in excess of the number of Shares authorized from time to time to be issued and sold under this Agreement, in each case, by the Company’s board of directors, or a duly authorized committee thereof, and notified to the Agent in writing. In addition, the Company may, upon notice to the Agent, suspend the offering of the Shares or the Agent may, upon notice to the Company, suspend the offering of the Shares with respect to which the Agent is acting as sales agent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Any notice given pursuant to the preceding sentence may be given by telephone by any of the individuals from the Company set forth on Schedule 1 hereto (confirmed promptly by telecopy or email and shall be addressed to each of the individuals from the Agent set forth on Schedule 1 hereto, which confirmation will be promptly acknowledged).</w:t>
      </w:r>
    </w:p>
    <w:p>
      <w:pPr>
        <w:spacing w:after="0" w:line="188" w:lineRule="exact"/>
        <w:rPr>
          <w:rFonts w:ascii="Times New Roman" w:cs="Times New Roman" w:eastAsia="Times New Roman" w:hAnsi="Times New Roman"/>
          <w:sz w:val="18"/>
          <w:szCs w:val="18"/>
          <w:color w:val="auto"/>
        </w:rPr>
      </w:pPr>
    </w:p>
    <w:p>
      <w:pPr>
        <w:ind w:right="20" w:firstLine="656"/>
        <w:spacing w:after="0" w:line="254" w:lineRule="auto"/>
        <w:tabs>
          <w:tab w:leader="none" w:pos="130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of any Shares sold pursuant to this Agreement by the Agent acting as sales agent of the Company shall be the market price prevailing at the time of sale for Ordinary Shares sold by the Agent on the Nasdaq or otherwise, at prices relating to prevailing market prices or at negotiated prices. The compensation payable to the Agent for sales of Shares with respect to which the Agent acts as sales agent shall be equal to up to 3.0% of the gross sales price of the Shares for amounts of Shares sold pursuant to this Agreement. The Company may sell Shares to the Agent, acting as principal, at a price agreed upon with the Agent at the relevant Applicable Time and pursuant to a separate Terms Agreement. The remaining proceeds, after further deduction for any transaction fees imposed by any governmental, regulatory or self-regulatory organization in respect of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The Agent shall notify the Company as promptly as practicable if any deduction referenced in the preceding sentence will be required.</w:t>
      </w:r>
    </w:p>
    <w:p>
      <w:pPr>
        <w:spacing w:after="0" w:line="191" w:lineRule="exact"/>
        <w:rPr>
          <w:rFonts w:ascii="Times New Roman" w:cs="Times New Roman" w:eastAsia="Times New Roman" w:hAnsi="Times New Roman"/>
          <w:sz w:val="18"/>
          <w:szCs w:val="18"/>
          <w:color w:val="auto"/>
        </w:rPr>
      </w:pPr>
    </w:p>
    <w:p>
      <w:pPr>
        <w:ind w:right="60" w:firstLine="656"/>
        <w:spacing w:after="0" w:line="266"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acting as a sales agent hereunder, the Agent shall provide written confirmation to the Company following the close of trading on the Nasdaq, each day in which Shares are sold under this Agreement setting forth the number of Shares sold on such day, the aggregate gross sales proceeds of the Shares, the Net Proceeds to the Company and the compensation payable by the Company to such Agent with respect to such sales.</w:t>
      </w:r>
    </w:p>
    <w:p>
      <w:pPr>
        <w:spacing w:after="0" w:line="202" w:lineRule="exact"/>
        <w:rPr>
          <w:rFonts w:ascii="Times New Roman" w:cs="Times New Roman" w:eastAsia="Times New Roman" w:hAnsi="Times New Roman"/>
          <w:sz w:val="18"/>
          <w:szCs w:val="18"/>
          <w:color w:val="auto"/>
        </w:rPr>
      </w:pPr>
    </w:p>
    <w:p>
      <w:pPr>
        <w:ind w:right="80" w:firstLine="656"/>
        <w:spacing w:after="0" w:line="255" w:lineRule="auto"/>
        <w:tabs>
          <w:tab w:leader="none" w:pos="12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aggregate offering price or number, as the case may be, of Shares sold pursuant to this Agreement and any Terms Agreement exceed the aggregate offering price or number, as the case may be, of Ordinary Shares (i) set forth in the preamble paragraph of this Agreement, (ii) available for issuance under the Prospectus and the then currently effective Registration Statement or (iii) authorized from time to time to be issued and sold under this Agreement or any Terms Agreement by the Company’s board of directors, or a duly authorized committee thereof, and notified to the Agent in writing. In addition, under no circumstances shall any Shares with respect to which the Agent acts as sales agent be sold at a price lower than the minimum price therefor authorized from time to time by the Company’s board of directors, or a duly authorized committee thereof, and notified to the Agent in writing.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ind w:right="60" w:firstLine="656"/>
        <w:spacing w:after="0" w:line="254" w:lineRule="auto"/>
        <w:tabs>
          <w:tab w:leader="none" w:pos="1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Shares pursuant to this Section 2 will occur on the first business day that is also a Trading Day following the trade date on which such sales are made, unless another date shall be agreed to by the Company and the Agent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the Agent for settlement on such date shall be delivered by the Company to the Agent against payment of the Net Proceeds from the sale of such Shares. Settlement for all Shares shall be effected by book-entry delivery of Shares to the Agent’s account at The Depository Trust Company against payments by the Agent of the Net Proceeds from the sale of such Shares in same day funds delivered to an account designated by the Company. If the Company shall default on its obligation to deliver Shares on any Settlement Date, the Company shall (i) indemnify and hold the Agent harmless against any loss, claim or damage arising from or as a result of such default by the Company and (ii) pay the Agent any commission to which it would otherwise be entitled absent such default.</w:t>
      </w:r>
    </w:p>
    <w:p>
      <w:pPr>
        <w:spacing w:after="0" w:line="191" w:lineRule="exact"/>
        <w:rPr>
          <w:rFonts w:ascii="Times New Roman" w:cs="Times New Roman" w:eastAsia="Times New Roman" w:hAnsi="Times New Roman"/>
          <w:sz w:val="18"/>
          <w:szCs w:val="18"/>
          <w:color w:val="auto"/>
        </w:rPr>
      </w:pPr>
    </w:p>
    <w:p>
      <w:pPr>
        <w:ind w:right="240" w:firstLine="656"/>
        <w:spacing w:after="0" w:line="266" w:lineRule="auto"/>
        <w:tabs>
          <w:tab w:leader="none" w:pos="1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and the Agent agree that no sales of Shares shall take place, and the Company shall not request the sale of any Shares that would be sold, and the Agent shall not be obligated to sell, during any period in which the Company is in possession of material non-public information.</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1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Registration Amendment Date and each Company Periodic Report Date, the Company shall be deemed to have affirmed each representation and warranty contained in this Agreement. Any obligation of the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xml:space="preserve">  The Company agrees with the Agent:</w:t>
      </w:r>
    </w:p>
    <w:p>
      <w:pPr>
        <w:spacing w:after="0" w:line="225" w:lineRule="exact"/>
        <w:rPr>
          <w:sz w:val="20"/>
          <w:szCs w:val="20"/>
          <w:color w:val="auto"/>
        </w:rPr>
      </w:pPr>
    </w:p>
    <w:p>
      <w:pPr>
        <w:ind w:right="20" w:firstLine="656"/>
        <w:spacing w:after="0" w:line="253" w:lineRule="auto"/>
        <w:tabs>
          <w:tab w:leader="none" w:pos="1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is required in connection with the offering or sale of Shares (whether physically or through compliance with Rule 153 or 172, or in lieu thereof, a notice referred to in Rule 173(a) under the 1933 Act), (i) to make no further amendment or any supplement to the Registration Statement or the Prospectus (other than an amendment or supplement relating to an offering of the Company’s securities which is unrelated to the offering of the Shares hereunder) prior to any Settlement Date which shall be disapproved by the Agent promptly after reasonable notice thereof and to advise the Agent, promptly after it receives notice thereof, of the time when any amendment to the Registration Statement has been filed or becomes effective or any amendment or supplement to the Prospectus has been filed and to furnish the Agent with copies thereof, (ii) to file promptly all other material required to be filed by the Company with the Commission pursuant to Rule 433(d) under the 1933 Act, (iii) to file promptly all reports and any definitive proxy or information statements required to be filed by the Company with the Commission pursuant to Section 13(a) or 15(d) of the 1934 Act, (iv) to advise the Agent, promptly after it receives notice thereof, of the issuance by the Commission of any stop order or of any order preventing or suspending the use of the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Shares by the Agent,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obligated to furnish copies of any report or statement filed with the Commission to the extent it is available on the Commission’s Electronic Data Gathering, Analysis, and Retrieval System (“EDGAR”).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firstLine="656"/>
        <w:spacing w:after="0" w:line="256" w:lineRule="auto"/>
        <w:tabs>
          <w:tab w:leader="none" w:pos="13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Agent may reasonably request to qualify the Shares for offering and sale under the securities laws of such jurisdictions as the Agent may request and to comply with such laws so as to permit the continuance of sales and dealings therein in such jurisdictions for as long as may be necessary to complete the sale of the Shares, provided that in connection therewith the Company shall not be required to (i) qualify as a foreign corporation or to file a general consent to service of process in any jurisdiction or (ii) publish a prospectus pursuant to the Prospectus Regulation; and to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87" w:lineRule="exact"/>
        <w:rPr>
          <w:rFonts w:ascii="Times New Roman" w:cs="Times New Roman" w:eastAsia="Times New Roman" w:hAnsi="Times New Roman"/>
          <w:sz w:val="18"/>
          <w:szCs w:val="18"/>
          <w:color w:val="auto"/>
        </w:rPr>
      </w:pPr>
    </w:p>
    <w:p>
      <w:pPr>
        <w:ind w:right="40" w:firstLine="656"/>
        <w:spacing w:after="0" w:line="253" w:lineRule="auto"/>
        <w:tabs>
          <w:tab w:leader="none" w:pos="12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is required (whether physically or through compliance with Rules 153 or 172, or in lieu thereof, a notice referred to in Rule 173(a) under the 1933 Act) in connection with the offering or sale of Shares, the Company will make available to the Agent, as soon as practicable after the execution of this Agreement, and thereafter from time to time furnish to the Agent, copies of the most recent Prospectus in such quantities and at such locations as the Agent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 and to file such document and to prepare and furnish without charge to the Agent as many written and electronic copies as the Agent may from time to time reasonably request of an amended Prospectus or a supplement to the Prospectus which will correct such statement or omission or effect such compliance. Notwithstanding the foregoing, the Company shall not be obligated to furnish any document to the extent such document is available on EDGAR.</w:t>
      </w:r>
    </w:p>
    <w:p>
      <w:pPr>
        <w:spacing w:after="0" w:line="187" w:lineRule="exact"/>
        <w:rPr>
          <w:rFonts w:ascii="Times New Roman" w:cs="Times New Roman" w:eastAsia="Times New Roman" w:hAnsi="Times New Roman"/>
          <w:sz w:val="18"/>
          <w:szCs w:val="18"/>
          <w:color w:val="auto"/>
        </w:rPr>
      </w:pPr>
    </w:p>
    <w:p>
      <w:pPr>
        <w:ind w:right="60" w:firstLine="656"/>
        <w:spacing w:after="0" w:line="261" w:lineRule="auto"/>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but in any event not later than sixteen months after the effective date of the Registration Statement (as defined in Rule 158(c) under the 1933 Act), an earnings statement of the Company and its subsidiaries (which need not be audited) complying with Section 11(a) of the 1933 Act and the rules and regulations of the Commission thereunder (including, at the option of the Company, Rule 158).</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pursuant to this Agreement and any Terms Agreement in the manner specified in the General Disclosure Package.</w:t>
      </w:r>
    </w:p>
    <w:p>
      <w:pPr>
        <w:spacing w:after="0" w:line="161" w:lineRule="exact"/>
        <w:rPr>
          <w:rFonts w:ascii="Times New Roman" w:cs="Times New Roman" w:eastAsia="Times New Roman" w:hAnsi="Times New Roman"/>
          <w:sz w:val="18"/>
          <w:szCs w:val="18"/>
          <w:color w:val="auto"/>
        </w:rPr>
      </w:pPr>
    </w:p>
    <w:p>
      <w:pPr>
        <w:ind w:right="280" w:firstLine="656"/>
        <w:spacing w:after="0" w:line="266" w:lineRule="auto"/>
        <w:tabs>
          <w:tab w:leader="none" w:pos="13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take, directly or indirectly, and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ind w:firstLine="656"/>
        <w:spacing w:after="0" w:line="254" w:lineRule="auto"/>
        <w:tabs>
          <w:tab w:leader="none" w:pos="1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each Settlement Date, each Registration Statement Amendment Date (as defined below), each Company Periodic Report Date (as defined below) and each date on which Shares are delivered to the Agent pursuant to a Terms Agreement, the Company shall be deemed to have affirmed each representation, warranty, covenant and other agreement contained in this Agreement or any Terms Agreement. In each Annual Report on Form 20-F or Report on Form 6-K that includes quarterly financial statements filed by the Company in respect of any quarter in which sales of Shares were made by or through the Agent under this Agreement or any Terms Agreement (each date on which any such document is filed, and any date on which an amendment to any such document is filed, a “</w:t>
      </w:r>
      <w:r>
        <w:rPr>
          <w:rFonts w:ascii="Times New Roman" w:cs="Times New Roman" w:eastAsia="Times New Roman" w:hAnsi="Times New Roman"/>
          <w:sz w:val="18"/>
          <w:szCs w:val="18"/>
          <w:u w:val="single" w:color="auto"/>
          <w:color w:val="auto"/>
        </w:rPr>
        <w:t>Company Periodic Report Date</w:t>
      </w:r>
      <w:r>
        <w:rPr>
          <w:rFonts w:ascii="Times New Roman" w:cs="Times New Roman" w:eastAsia="Times New Roman" w:hAnsi="Times New Roman"/>
          <w:sz w:val="18"/>
          <w:szCs w:val="18"/>
          <w:color w:val="auto"/>
        </w:rPr>
        <w:t>”), the Company shall set forth with regard to such quarter the number of Shares sold through the Agent under this Agreement or any Terms Agreement and the Net Proceeds received by the Company with respect to sales of Shares pursuant to this Agreement or any Terms Agreement.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20" w:firstLine="656"/>
        <w:spacing w:after="0" w:line="252" w:lineRule="auto"/>
        <w:tabs>
          <w:tab w:leader="none" w:pos="13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Shares under this Agreement and each time the Shares are delivered to the Agent as principal on a Settlement Date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3(i), or (3) by a prospectus supplement relating to the offering of other securities (including, without limitation, other Ordinary Shares)) (each such date, a “</w:t>
      </w:r>
      <w:r>
        <w:rPr>
          <w:rFonts w:ascii="Times New Roman" w:cs="Times New Roman" w:eastAsia="Times New Roman" w:hAnsi="Times New Roman"/>
          <w:sz w:val="18"/>
          <w:szCs w:val="18"/>
          <w:u w:val="single" w:color="auto"/>
          <w:color w:val="auto"/>
        </w:rPr>
        <w:t>Registration Statement Amendment Date</w:t>
      </w:r>
      <w:r>
        <w:rPr>
          <w:rFonts w:ascii="Times New Roman" w:cs="Times New Roman" w:eastAsia="Times New Roman" w:hAnsi="Times New Roman"/>
          <w:sz w:val="18"/>
          <w:szCs w:val="18"/>
          <w:color w:val="auto"/>
        </w:rPr>
        <w:t>”) and (ii) Company Periodic Report Date, the Company will furnish or cause to be furnished forthwith to the Agent a certificate dated the date of effectiveness of such amendment or the date of filing with the Commission of such supplement or other document, as the case may be, in a form reasonably satisfactory to the Agent to the effect that the statements contained in the certificate referred to in Section 6(f) of this Agreement which were last furnished to the Agent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6(f),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w:t>
      </w:r>
    </w:p>
    <w:p>
      <w:pPr>
        <w:spacing w:after="0" w:line="197" w:lineRule="exact"/>
        <w:rPr>
          <w:rFonts w:ascii="Times New Roman" w:cs="Times New Roman" w:eastAsia="Times New Roman" w:hAnsi="Times New Roman"/>
          <w:sz w:val="18"/>
          <w:szCs w:val="18"/>
          <w:color w:val="auto"/>
        </w:rPr>
      </w:pPr>
    </w:p>
    <w:p>
      <w:pPr>
        <w:ind w:firstLine="656"/>
        <w:spacing w:after="0" w:line="253" w:lineRule="auto"/>
        <w:tabs>
          <w:tab w:leader="none" w:pos="13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Shares under this Agreement and each time the Shares are delivered to the Agent as principal on a Settlement Date, and promptly after each (i) Registration Statement Amendment Date and Company Periodic Report Date, the Company will furnish or cause to be furnished to the Agent and to counsel to the Agent the written opinion and negative assurance letter, as the case may be, of each Company counsel or other counsel reasonably satisfactory to the Agent, dated the date of effectiveness of such amendment or the date of filing with the Commission of such supplement or other document, as the case may be, in a form and substance reasonably satisfactory to the Agent and its counsel,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 shall furnish such Agent with a letter substantially to the effect that the Agent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As used in this paragraph, to the extent there shall be an Applicable Time on or following the date referred to in clause (i) or (ii) above, promptly shall be deemed to be on or prior to the next succeeding Applicable Time.</w:t>
      </w:r>
    </w:p>
    <w:p>
      <w:pPr>
        <w:spacing w:after="0" w:line="189" w:lineRule="exact"/>
        <w:rPr>
          <w:rFonts w:ascii="Times New Roman" w:cs="Times New Roman" w:eastAsia="Times New Roman" w:hAnsi="Times New Roman"/>
          <w:sz w:val="18"/>
          <w:szCs w:val="18"/>
          <w:color w:val="auto"/>
        </w:rPr>
      </w:pPr>
    </w:p>
    <w:p>
      <w:pPr>
        <w:ind w:right="20" w:firstLine="656"/>
        <w:spacing w:after="0" w:line="254" w:lineRule="auto"/>
        <w:tabs>
          <w:tab w:leader="none" w:pos="13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Shares under this Agreement and each time the Shares are delivered to the Agent as principal on a Settlement Date, and promptly after each (i) Registration Statement Amendment Date and (ii) Company Periodic Report Date, the Company will cause PricewaterhouseCoopers International Limited, or other independent accountants reasonably satisfactory to the Agent, to furnish to the Agent a letter, dated the date of effectiveness of such amendment or the date of filing of such supplement or other document with the Commission, as the case may be, in form reasonably satisfactory to the Agent and its counsel,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or (ii) above, promptly shall be deemed to be on or prior to the next succeeding Applicable Time.</w:t>
      </w:r>
    </w:p>
    <w:p>
      <w:pPr>
        <w:spacing w:after="0" w:line="191" w:lineRule="exact"/>
        <w:rPr>
          <w:rFonts w:ascii="Times New Roman" w:cs="Times New Roman" w:eastAsia="Times New Roman" w:hAnsi="Times New Roman"/>
          <w:sz w:val="18"/>
          <w:szCs w:val="18"/>
          <w:color w:val="auto"/>
        </w:rPr>
      </w:pPr>
    </w:p>
    <w:p>
      <w:pPr>
        <w:ind w:right="120" w:firstLine="656"/>
        <w:spacing w:after="0" w:line="261" w:lineRule="auto"/>
        <w:tabs>
          <w:tab w:leader="none" w:pos="1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Agent has informed the Company that the Agent may, to the extent permitted under the 1933 Act and the 1934 Act, purchase and sell Ordinary Shares for its own account and the accounts of its clients while this Agreement is in effect; provided, however, that such acknowledgement and agreement shall not be deemed to be an authorization or consent to any such purchases or sales by the Agent.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right="260" w:firstLine="656"/>
        <w:spacing w:after="0" w:line="289" w:lineRule="auto"/>
        <w:tabs>
          <w:tab w:leader="none" w:pos="130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knowledge of the Company, all filings required by Rule 424 in connection with this offering shall not have been made or the representations in Section 1(a) shall not be true and correct on the applicable Settlement Date, the Company will offer to any person who has agreed to purchase Shares from the Company as the result of an offer to purchase solicited by the Agent the right to refuse to purchase and pay for such Shares.</w:t>
      </w:r>
    </w:p>
    <w:p>
      <w:pPr>
        <w:spacing w:after="0" w:line="157" w:lineRule="exact"/>
        <w:rPr>
          <w:rFonts w:ascii="Times New Roman" w:cs="Times New Roman" w:eastAsia="Times New Roman" w:hAnsi="Times New Roman"/>
          <w:sz w:val="17"/>
          <w:szCs w:val="17"/>
          <w:color w:val="auto"/>
        </w:rPr>
      </w:pPr>
    </w:p>
    <w:p>
      <w:pPr>
        <w:ind w:firstLine="656"/>
        <w:spacing w:after="0" w:line="261" w:lineRule="auto"/>
        <w:tabs>
          <w:tab w:leader="none" w:pos="1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cooperate timely with any reasonable due diligence review conducted by the Agent or its counsel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 may reasonably request.</w:t>
      </w:r>
    </w:p>
    <w:p>
      <w:pPr>
        <w:spacing w:after="0" w:line="179" w:lineRule="exact"/>
        <w:rPr>
          <w:rFonts w:ascii="Times New Roman" w:cs="Times New Roman" w:eastAsia="Times New Roman" w:hAnsi="Times New Roman"/>
          <w:sz w:val="18"/>
          <w:szCs w:val="18"/>
          <w:color w:val="auto"/>
        </w:rPr>
      </w:pPr>
    </w:p>
    <w:p>
      <w:pPr>
        <w:ind w:right="20" w:firstLine="656"/>
        <w:spacing w:after="0" w:line="252" w:lineRule="auto"/>
        <w:tabs>
          <w:tab w:leader="none" w:pos="1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Agent, the Company will not, directly or indirectly, offer to sell, sell, contract to sell, grant any option to sell or otherwise dispose of any Ordinary Shares (other than the Shares offered pursuant to this Agreement) or securities convertible into or exchangeable or exercisable for Ordinary Shares, warrants or any rights to purchase or acquire Ordinary Shares during the period beginning on the first Trading Day immediately prior to the date on which any instructions for the sale of Shares hereunder is delivered to the Agent and ending on the final Settlement Date with respect to Shares sold pursuant to such instructions to sell Shares hereunder (or, if such instructions have been terminated or suspended prior to the sale of all Shares covered thereby, the later date of (i) such suspension or termination and (ii) the Settlement Date of any Shares sold thereunder); provided, however, that such restrictions will not be required in connection with the Company’s issuance or sale of (i) Ordinary Shares, options to subscribe for or purchase Ordinary Shares, other securities under any director or employee incentive plans, or Ordinary Shares issuable upon the exercise of options or vesting of other securities, pursuant to any employee or director share option or benefits plan, share ownership plan or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 and (iii) Ordinary Shares or securities convertible into or exchangeable for Ordinary Shares as consideration for mergers, acquisitions, other business combinations or strategic alliances occurring after the date of this Agreement which are not issued for capital raising purposes; provided that the aggregate number of shares issued pursuant to this clause (iii) shall not exceed seven and a half percent (7.5%) of the total number of outstanding Ordinary Shares immediately prior to giving effect to such issuance or sale unless such transaction described in clause (iii) has been announced by the Company prior to delivering instructions for the sale of Shares to the Agent.</w:t>
      </w:r>
    </w:p>
    <w:p>
      <w:pPr>
        <w:spacing w:after="0" w:line="194" w:lineRule="exact"/>
        <w:rPr>
          <w:rFonts w:ascii="Times New Roman" w:cs="Times New Roman" w:eastAsia="Times New Roman" w:hAnsi="Times New Roman"/>
          <w:sz w:val="18"/>
          <w:szCs w:val="18"/>
          <w:color w:val="auto"/>
        </w:rPr>
      </w:pPr>
    </w:p>
    <w:p>
      <w:pPr>
        <w:ind w:firstLine="656"/>
        <w:spacing w:after="0" w:line="254" w:lineRule="auto"/>
        <w:tabs>
          <w:tab w:leader="none" w:pos="13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prior to the third anniversary (the “</w:t>
      </w:r>
      <w:r>
        <w:rPr>
          <w:rFonts w:ascii="Times New Roman" w:cs="Times New Roman" w:eastAsia="Times New Roman" w:hAnsi="Times New Roman"/>
          <w:sz w:val="18"/>
          <w:szCs w:val="18"/>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any of the Shares remain unsold, the Company shall file, at its discretion prior to the Renewal Deadline, if it has not already done so and is eligible to do so, an “automatic shelf registration statement” (as defined in Rule 405 under the 1933 Act) relating to the Shares, in a form satisfactory to the Agent. If the Company is not eligible to file an automatic shelf registration statement, the Company shall file, at its discretion prior to the Renewal Deadline, if it has not already done so, a new shelf registration statement relating to the Shares, in a form satisfactory to the Agent, and will use its best efforts to cause such registration statement to be declared effective within 60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91" w:lineRule="exact"/>
        <w:rPr>
          <w:rFonts w:ascii="Times New Roman" w:cs="Times New Roman" w:eastAsia="Times New Roman" w:hAnsi="Times New Roman"/>
          <w:sz w:val="18"/>
          <w:szCs w:val="18"/>
          <w:color w:val="auto"/>
        </w:rPr>
      </w:pPr>
    </w:p>
    <w:p>
      <w:pPr>
        <w:ind w:right="120" w:firstLine="656"/>
        <w:spacing w:after="0" w:line="254" w:lineRule="auto"/>
        <w:tabs>
          <w:tab w:leader="none" w:pos="12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requirement to provide any deliverables shall be automatically waived for any Registration Statement Amendment Date or Company Periodic Report Date occurring at a time when no instructions for the sale of Shares hereunder are pending or a suspension is in effect, which waiver shall continue until the earlier to occur of the date the Company delivers instructions for the sale of Shares hereunder (which for such calendar quarter shall be considered a Company Periodic Report Date) and the next occurring Registration Statement Amendment Date or Company Periodic Report Date, as the case may be. Notwithstanding the foregoing, if the Company subsequently decides to sell Shares following a Registration Statement Amendment Date or Company Periodic Report Date when a suspension was in effect and did not provide the Agent with the deliverables required on such Registration Statement Amendment Date or Company Periodic Report Date, as the case may be, then before the Company delivers the instructions for the sale of Shares or the Agent sells any Shares pursuant to such instructions, the Company shall provide the Agent with all such deliverables for such Registration Statement Amendment Date or Company Periodic Report Date, as the case may be.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380" w:hanging="4"/>
        <w:spacing w:after="0" w:line="282" w:lineRule="auto"/>
        <w:tabs>
          <w:tab w:leader="none" w:pos="13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represents and agrees that without the prior consent of the Agent, it has not made and will not make any offer relating to the Shares that would constitute a “free writing prospectus” as defined in Rule 405 under the 1933 Act; and</w:t>
      </w:r>
    </w:p>
    <w:p>
      <w:pPr>
        <w:spacing w:after="0" w:line="161" w:lineRule="exact"/>
        <w:rPr>
          <w:rFonts w:ascii="Times New Roman" w:cs="Times New Roman" w:eastAsia="Times New Roman" w:hAnsi="Times New Roman"/>
          <w:sz w:val="18"/>
          <w:szCs w:val="18"/>
          <w:color w:val="auto"/>
        </w:rPr>
      </w:pPr>
    </w:p>
    <w:p>
      <w:pPr>
        <w:ind w:left="660" w:right="400" w:firstLine="644"/>
        <w:spacing w:after="0" w:line="282" w:lineRule="auto"/>
        <w:tabs>
          <w:tab w:leader="none" w:pos="193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represents and agrees that, without the prior consent of the Company, it has not made and will not make any offer relating to the Shares that would constitute a free writing prospectus required to be filed with the Commission.</w:t>
      </w:r>
    </w:p>
    <w:p>
      <w:pPr>
        <w:spacing w:after="0" w:line="161" w:lineRule="exact"/>
        <w:rPr>
          <w:rFonts w:ascii="Times New Roman" w:cs="Times New Roman" w:eastAsia="Times New Roman" w:hAnsi="Times New Roman"/>
          <w:sz w:val="18"/>
          <w:szCs w:val="18"/>
          <w:color w:val="auto"/>
        </w:rPr>
      </w:pPr>
    </w:p>
    <w:p>
      <w:pPr>
        <w:ind w:right="40" w:firstLine="656"/>
        <w:spacing w:after="0" w:line="266" w:lineRule="auto"/>
        <w:tabs>
          <w:tab w:leader="none" w:pos="13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covenants and agrees with the Agent that the Company will pay or cause to be paid the following: (i) the fees, disbursements and expenses of the Company’s counsel and accountants in connection with the registration of the Shares under the 1933 Act and all other expenses in connection with the preparation, printing and filing of the Registration Statement, the Basic Prospectus, Prospectus Supplement, any Issuer Free Writing Prospectus and the Prospectus and amendments and supplements thereto and the mailing and delivering of copies thereof to the Agent; (ii) the cost of printing or producing this Agreement or any Terms Agreement, any Blue Sky and Legal Investment Memoranda,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3(b) hereof, including the reasonable fees and disbursements of counsel for the Agent in connection with such qualification and in connection with the Blue Sky and Legal Investment Surveys; (iv) any filing fees incident to, and the reasonable fees and disbursements of counsel for the Agent in connection with, any required review by the Financial Industry Regulatory Authority, Inc. (“FINRA”) of the terms of the sale of the Shares; (v) all fees and expenses in connection with listing or quoting the Shares on the Nasdaq; (vi) the cost of preparing the Shares; (vii) the costs and charges of any transfer agent or registrar or any dividend distribution agent; and (viii) all other costs and expenses incident to the performance of its obligations hereunder which are not otherwise specifically provided for in this Section. The fees and disbursements of counsel to the Agent pursuant to subsections (iii), (iv) and (viii) shall not exceed in the aggregate (A) $100,000 in connection with the execution of this Agreement and (B) $25,000 in connection with every date specified in Section 3(j) hereof on which the Company is required to provide a certificate. It is understood, however, that, except as provided in this Section, and Section 7 hereof, the Agent will pay all of its own costs and expenses, including the fees of its counsel, transfer taxes on resale of any of the Shares by it, and any advertising expenses connected with any offers it may make.</w:t>
      </w:r>
    </w:p>
    <w:p>
      <w:pPr>
        <w:spacing w:after="0" w:line="19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Agent’s Obligation</w:t>
      </w:r>
      <w:r>
        <w:rPr>
          <w:rFonts w:ascii="Times New Roman" w:cs="Times New Roman" w:eastAsia="Times New Roman" w:hAnsi="Times New Roman"/>
          <w:sz w:val="18"/>
          <w:szCs w:val="18"/>
          <w:color w:val="auto"/>
        </w:rPr>
        <w:t>. The obligations of the Agent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the date of any executed Terms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right="20" w:firstLine="656"/>
        <w:spacing w:after="0" w:line="254" w:lineRule="auto"/>
        <w:tabs>
          <w:tab w:leader="none" w:pos="12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shall have been filed with the Commission pursuant to Rule 424(b) under the 1933 Act on or prior to the date hereof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w:t>
      </w:r>
    </w:p>
    <w:p>
      <w:pPr>
        <w:spacing w:after="0" w:line="218" w:lineRule="exact"/>
        <w:rPr>
          <w:rFonts w:ascii="Times New Roman" w:cs="Times New Roman" w:eastAsia="Times New Roman" w:hAnsi="Times New Roman"/>
          <w:sz w:val="18"/>
          <w:szCs w:val="18"/>
          <w:color w:val="auto"/>
        </w:rPr>
      </w:pPr>
    </w:p>
    <w:p>
      <w:pPr>
        <w:ind w:right="60" w:firstLine="656"/>
        <w:spacing w:after="0" w:line="261" w:lineRule="auto"/>
        <w:tabs>
          <w:tab w:leader="none" w:pos="13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every date specified in Section 3(k) hereof and on such other dates as reasonably requested by Agent, Cooley LLP, counsel for the Agent, shall have furnished to the Agent such written opinion or opinions and negative assurance letters, dated as of such date, with respect to such matters as the Agent may reasonably request, and such counsel shall have received such papers and information as they may reasonably request to enable them to pass upon such matters.</w:t>
      </w:r>
    </w:p>
    <w:p>
      <w:pPr>
        <w:spacing w:after="0" w:line="206" w:lineRule="exact"/>
        <w:rPr>
          <w:rFonts w:ascii="Times New Roman" w:cs="Times New Roman" w:eastAsia="Times New Roman" w:hAnsi="Times New Roman"/>
          <w:sz w:val="18"/>
          <w:szCs w:val="18"/>
          <w:color w:val="auto"/>
        </w:rPr>
      </w:pPr>
    </w:p>
    <w:p>
      <w:pPr>
        <w:ind w:right="80" w:firstLine="656"/>
        <w:spacing w:after="0" w:line="256" w:lineRule="auto"/>
        <w:tabs>
          <w:tab w:leader="none" w:pos="12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every date specified in Section 3(k) hereof and on such other dates as reasonably requested by Agent, (i) Davis Polk &amp; Wardwell LLP, U.S. counsel for the Company, shall have furnished to the Agent written opinion or opinions and negative assurance letters, dated as of such date, (ii) A&amp;L Goodbody LLP, Irish counsel to the Company, shall have furnished to the Agent written opinion or opinions, dated as of such date, and (iii) each of Carpmaels &amp; Ransford (Specialities) LLP, European intellectual property counsel to the Company, and Womble Bond Dickinson (US) LLP, U.S. intellectual property counsel to the Company, shall have furnished to the Agent written opinion or opinions, dated as of such date, in each case in form and substance reasonably satisfactory to the Agent.</w:t>
      </w:r>
    </w:p>
    <w:p>
      <w:pPr>
        <w:spacing w:after="0" w:line="214" w:lineRule="exact"/>
        <w:rPr>
          <w:rFonts w:ascii="Times New Roman" w:cs="Times New Roman" w:eastAsia="Times New Roman" w:hAnsi="Times New Roman"/>
          <w:sz w:val="18"/>
          <w:szCs w:val="18"/>
          <w:color w:val="auto"/>
        </w:rPr>
      </w:pPr>
    </w:p>
    <w:p>
      <w:pPr>
        <w:ind w:firstLine="656"/>
        <w:spacing w:after="0" w:line="256" w:lineRule="auto"/>
        <w:tabs>
          <w:tab w:leader="none" w:pos="12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dates specified in Section 3(l) hereof and on such other dates as reasonably requested by Agent, the independent accountants of the Company who have certified the financial statements of the Company and its subsidiaries included or incorporated by reference in the Registration Statement, the General Disclosure Package and the Prospectus shall have furnished to the Agent a letter dated as of the date of delivery thereof and addressed to the Agent in form and substance reasonably satisfactory to the Agent and its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187" w:lineRule="exact"/>
        <w:rPr>
          <w:rFonts w:ascii="Times New Roman" w:cs="Times New Roman" w:eastAsia="Times New Roman" w:hAnsi="Times New Roman"/>
          <w:sz w:val="18"/>
          <w:szCs w:val="18"/>
          <w:color w:val="auto"/>
        </w:rPr>
      </w:pPr>
    </w:p>
    <w:p>
      <w:pPr>
        <w:ind w:right="220" w:firstLine="656"/>
        <w:spacing w:after="0" w:line="282" w:lineRule="auto"/>
        <w:tabs>
          <w:tab w:leader="none" w:pos="12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offering of Shares under this Agreement, the Agent shall have received a certificate, signed on behalf of the Company by its corporate Secretary, in form and substance reasonably satisfactory to the Agent and its counsel.</w:t>
      </w:r>
    </w:p>
    <w:p>
      <w:pPr>
        <w:spacing w:after="0" w:line="188" w:lineRule="exact"/>
        <w:rPr>
          <w:rFonts w:ascii="Times New Roman" w:cs="Times New Roman" w:eastAsia="Times New Roman" w:hAnsi="Times New Roman"/>
          <w:sz w:val="18"/>
          <w:szCs w:val="18"/>
          <w:color w:val="auto"/>
        </w:rPr>
      </w:pPr>
    </w:p>
    <w:p>
      <w:pPr>
        <w:ind w:right="20" w:firstLine="656"/>
        <w:spacing w:after="0" w:line="256" w:lineRule="auto"/>
        <w:tabs>
          <w:tab w:leader="none" w:pos="1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Upon commencement of the offering of Shares under this Agreement and on such other dates as reasonably requested by Agent, the Company will furnish or cause to be furnished promptly to the Agent a certificate of an officer in a form satisfactory to the Agent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 (ii) on each date specified in Section 3(j) and on such other dates as reasonably requested by Agent, the Agent shall have received a certificate of executive officers of the Company, one of whom shall be the Chief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w:t>
      </w:r>
    </w:p>
    <w:p>
      <w:pPr>
        <w:spacing w:after="0" w:line="190" w:lineRule="exact"/>
        <w:rPr>
          <w:rFonts w:ascii="Times New Roman" w:cs="Times New Roman" w:eastAsia="Times New Roman" w:hAnsi="Times New Roman"/>
          <w:sz w:val="18"/>
          <w:szCs w:val="18"/>
          <w:color w:val="auto"/>
        </w:rPr>
      </w:pPr>
    </w:p>
    <w:p>
      <w:pPr>
        <w:ind w:right="40" w:firstLine="656"/>
        <w:spacing w:after="0" w:line="282" w:lineRule="auto"/>
        <w:tabs>
          <w:tab w:leader="none" w:pos="13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then included or incorporated by reference in the General Disclosure Package and the Prospectus, no Material Adverse Effect shall have occurred.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280" w:hanging="62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3(c) hereof with respect to the timely furnishing of prospectuses.</w:t>
      </w:r>
    </w:p>
    <w:p>
      <w:pPr>
        <w:spacing w:after="0" w:line="225" w:lineRule="exact"/>
        <w:rPr>
          <w:rFonts w:ascii="Times New Roman" w:cs="Times New Roman" w:eastAsia="Times New Roman" w:hAnsi="Times New Roman"/>
          <w:sz w:val="18"/>
          <w:szCs w:val="18"/>
          <w:color w:val="auto"/>
        </w:rPr>
      </w:pPr>
    </w:p>
    <w:p>
      <w:pPr>
        <w:ind w:right="260" w:firstLine="656"/>
        <w:spacing w:after="0" w:line="282" w:lineRule="auto"/>
        <w:tabs>
          <w:tab w:leader="none" w:pos="1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dates as reasonably requested by the Agent, the Company shall have conducted due diligence sessions, in form and substance reasonably satisfactory to the Agent.</w:t>
      </w:r>
    </w:p>
    <w:p>
      <w:pPr>
        <w:spacing w:after="0" w:line="161" w:lineRule="exact"/>
        <w:rPr>
          <w:rFonts w:ascii="Times New Roman" w:cs="Times New Roman" w:eastAsia="Times New Roman" w:hAnsi="Times New Roman"/>
          <w:sz w:val="18"/>
          <w:szCs w:val="18"/>
          <w:color w:val="auto"/>
        </w:rPr>
      </w:pPr>
    </w:p>
    <w:p>
      <w:pPr>
        <w:ind w:right="560" w:firstLine="656"/>
        <w:spacing w:after="0" w:line="282" w:lineRule="auto"/>
        <w:tabs>
          <w:tab w:leader="none" w:pos="1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received approval for listing or quotation on the Nasdaq prior to the first Settlement Date.</w:t>
      </w:r>
    </w:p>
    <w:p>
      <w:pPr>
        <w:spacing w:after="0" w:line="225" w:lineRule="exact"/>
        <w:rPr>
          <w:rFonts w:ascii="Times New Roman" w:cs="Times New Roman" w:eastAsia="Times New Roman" w:hAnsi="Times New Roman"/>
          <w:sz w:val="18"/>
          <w:szCs w:val="18"/>
          <w:color w:val="auto"/>
        </w:rPr>
      </w:pPr>
    </w:p>
    <w:p>
      <w:pPr>
        <w:ind w:right="220" w:firstLine="656"/>
        <w:spacing w:after="0" w:line="282" w:lineRule="auto"/>
        <w:tabs>
          <w:tab w:leader="none" w:pos="1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Settlement Date, the Company shall have furnished to the Agent such further information, documents or certificates as the Agent may reasonably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53" w:lineRule="auto"/>
        <w:tabs>
          <w:tab w:leader="none" w:pos="12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indemnify and hold harmless the Agent against any losses, claims, damages or liabilities, joint or several, to which the Agent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 for any legal or other expenses reasonably incurred by the Agent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Prospectus Supplement or the Prospectus, or any amendment or supplement thereto, or any Issuer Free Writing Prospectus, in reliance upon and in strict conformity with written information furnished to the Company by the Agent expressly for use therein.</w:t>
      </w:r>
    </w:p>
    <w:p>
      <w:pPr>
        <w:spacing w:after="0" w:line="191" w:lineRule="exact"/>
        <w:rPr>
          <w:rFonts w:ascii="Times New Roman" w:cs="Times New Roman" w:eastAsia="Times New Roman" w:hAnsi="Times New Roman"/>
          <w:sz w:val="18"/>
          <w:szCs w:val="18"/>
          <w:color w:val="auto"/>
        </w:rPr>
      </w:pPr>
    </w:p>
    <w:p>
      <w:pPr>
        <w:ind w:firstLine="656"/>
        <w:spacing w:after="0" w:line="253" w:lineRule="auto"/>
        <w:tabs>
          <w:tab w:leader="none" w:pos="13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Prospectus Supplement or the Prospectus, or any such amendment or supplement thereto, or any Issuer Free Writing Prospectus, in reliance upon and in strict conformity with written information furnished to the Company by the Agent expressly for use therein; and will reimburse the Company for any legal or other expenses reasonably incurred by the Company in connection with investigating or defending any such action or claim as such expenses are incurred.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right="20" w:firstLine="656"/>
        <w:spacing w:after="0" w:line="252" w:lineRule="auto"/>
        <w:tabs>
          <w:tab w:leader="none" w:pos="12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5" w:lineRule="exact"/>
        <w:rPr>
          <w:rFonts w:ascii="Times New Roman" w:cs="Times New Roman" w:eastAsia="Times New Roman" w:hAnsi="Times New Roman"/>
          <w:sz w:val="18"/>
          <w:szCs w:val="18"/>
          <w:color w:val="auto"/>
        </w:rPr>
      </w:pPr>
    </w:p>
    <w:p>
      <w:pPr>
        <w:ind w:right="40" w:firstLine="656"/>
        <w:spacing w:after="0" w:line="251"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or liabilities (or actions in respect thereof),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The relative fault shall be determined by reference to, among other things, whether the untrue or alleged untrue statement of a material fact or the omission or alleged omission to state a material fact relates to information supplied by the Company on the one hand or the Agent on the other and the parties’ relative intent, knowledge, access to information and opportunity to correct or prevent such statement or omission. The Company and the Agent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Agent shall not be required to contribute any amount in excess of the amount by which the total compensation received by the Agent with respect to sales of the Shares sold by it to the public exceeds the amount of any damages which the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205" w:lineRule="exact"/>
        <w:rPr>
          <w:rFonts w:ascii="Times New Roman" w:cs="Times New Roman" w:eastAsia="Times New Roman" w:hAnsi="Times New Roman"/>
          <w:sz w:val="18"/>
          <w:szCs w:val="18"/>
          <w:color w:val="auto"/>
        </w:rPr>
      </w:pPr>
    </w:p>
    <w:p>
      <w:pPr>
        <w:ind w:right="180" w:firstLine="656"/>
        <w:spacing w:after="0" w:line="258" w:lineRule="auto"/>
        <w:tabs>
          <w:tab w:leader="none" w:pos="12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7 shall be in addition to any liability which the Company may otherwise have and shall extend, upon the same terms and conditions, to the directors, officers, employees, attorneys and agents of the Agent and to each person, if any, who controls the Agent within the meaning of the 1933 Act and each broker dealer affiliate of the Agent; and the obligations of the Agent under this Section 7 shall be in addition to any liability which the Agent may otherwise have and shall extend, upon the same terms and conditions, to each director, officer, employee, attorney and agent of the Company and to each person, if any, who controls the Company within the meaning of the 1933 Act.</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The respective indemnities, agreements, representations, warranties and other statements of the Company and the Agent, as set forth in this Agreement or made by or on behalf of them, respectively, pursuant to this Agreement, shall remain in full force and effect, regardless of any investigation (or any statement as to the results thereof) made by or on behalf of the Agent or any controlling person of the Agent, or the Company, or any officer or director or controlling person of the Company, and shall survive delivery of and payment for the Shares.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Agent is acting solely in the capacity of an arm’s length contractual counterparty to the Company with respect to the offering of Shares contemplated hereby (including in connection with determining the terms of such offering) and (ii) the Agent has not assumed an advisory or fiduciary responsibility in favor of the Company with respect to the offering contemplated hereby or the process leading thereto (irrespective of whether the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 has rendered advisory services of any nature or respect, or owe a fiduciary or similar duty to the Company, in connection with such transaction or the process leading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56"/>
        <w:spacing w:after="0" w:line="258" w:lineRule="auto"/>
        <w:tabs>
          <w:tab w:leader="none" w:pos="1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ind w:right="40" w:firstLine="656"/>
        <w:spacing w:after="0" w:line="266" w:lineRule="auto"/>
        <w:tabs>
          <w:tab w:leader="none" w:pos="1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written notice as hereinafter specified, to terminate this Agreement in its sole discretion at any time.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2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10, this Agreement shall automatically terminate upon the issuance and sale of all of the Shares by Stifel Nicolaus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175"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1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until and unless terminated pursuant to Section 10(a), (b) or (c) above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or pursuant to this clause (d) shall in all cases be deemed to provide that Section 1, Section 5, Section 7, Section 8, Section 14 and Section 15 of this Agreement shall remain in full force and effect.</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Shares, such sale shall settle in accordance with the provisions of Section 2(g) hereof.</w:t>
      </w:r>
    </w:p>
    <w:p>
      <w:pPr>
        <w:spacing w:after="0" w:line="175" w:lineRule="exact"/>
        <w:rPr>
          <w:rFonts w:ascii="Times New Roman" w:cs="Times New Roman" w:eastAsia="Times New Roman" w:hAnsi="Times New Roman"/>
          <w:sz w:val="18"/>
          <w:szCs w:val="18"/>
          <w:color w:val="auto"/>
        </w:rPr>
      </w:pPr>
    </w:p>
    <w:p>
      <w:pPr>
        <w:ind w:right="40" w:firstLine="656"/>
        <w:spacing w:after="0" w:line="253" w:lineRule="auto"/>
        <w:tabs>
          <w:tab w:leader="none" w:pos="1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by the Agent pursuant to a Terms Agreement, the Agent may terminate this Agreement, at any time at or prior to the Settlement Date (i) if there has been, since the time of execution of this Agreement or since the respective dates as of which information is given in the General Disclosure Package or the Prospectus,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Shares or to enforce contracts for the sale of Shares, or (iii) if trading in any securities of the Company has been suspended or materially limited by the Commission or the Nasdaq, or if trading generally on the NYSE American or Nasdaq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or New York authorities.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statements, requests, notices and agreements hereunder shall be in writing, and if to Stifel Nicolaus shall be delivered or sent by mail, telex or facsimile transmission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787 7th Avenue, 11th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Syndicate Department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Daniel I. Goldberg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dgoldberg@cooley.com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GH Research PLC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Joshua Dawson House, Dawson Street, Dublin 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D02 RY95, Ireland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Julie Ryan</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jr@ghres.com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Yasin Keshvargar</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yasin.keshvargar@davispolk.com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statements, requests, notices or agreements shall take effect upon receipt thereof.</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be binding upon, and inure solely to the benefit of, the Agent and the Company and, to the extent provided in Sections 7 and 8 hereof, the officers, directors, employees, attorneys and agents of the Company and the Agent and each person who controls the Company or the Agent, and their respective heirs, executors, administrators, successors and assigns, and no other person shall acquire or have any right under or by virtue of this Agreement. No purchaser of Shares through the Agent shall be deemed a successor or assign by reason merely of such purchase.</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shall be of the essence of this Agreement. As used herein, the term “business day” shall mean any day when the Commission’s office in Washington, D.C. is open for business.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Agent hereby irrevocably waive, to the fullest extent permitted by applicable law, any and all right to trial by jury in any legal proceeding arising out of or relating to this Agreement or the transactions contemplated hereby.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ind w:firstLine="648"/>
        <w:spacing w:after="0" w:line="22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REFERENCE TO ITS PRINCIPLES OF CONFLICTS OF LAW. The Company irrevocably (a) submits to the exclusive jurisdiction of the Federal and state courts in the Borough of Manhattan in The City of New York for the purpose of any suit, action or other proceeding arising out of this Agreement or the transactions contemplated by this Agreement, the Registration Statement, the General Disclosure Package and the Prospectus, (b) agrees that all claims in respect of any such suit, action or proceeding may be heard and determined by any such court, (c) waives to the fullest extent permitted by applicable law, any immunity from the jurisdiction of any such court or from any legal process, (d) agrees not to commence any such suit, action or proceeding other than in such courts, and (e) waives, to the fullest extent permitted by applicable law, any claim that any such suit, action or proceeding is brought in an inconvenient forum. The Company irrevocably appoints Cogency Global Inc., with offices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(and its successors)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11, shall be deemed in every respect effective service of process upon the Company in any such suit or proceeding.</w:t>
      </w:r>
    </w:p>
    <w:p>
      <w:pPr>
        <w:spacing w:after="0" w:line="208"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The obligations of the Company pursuant to this Agreement in respect of any sum due to the Agent shall, notwithstanding any judgment in a currency other than United States dollars, not be discharged until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business day, following receipt by the Agent of any sum adjudged to be so due in such other currency, on which (and only to the extent that) the Agent may in accordance with normal banking procedures purchase United States dollars with such other currency; if the United States dollars so purchased are less than the sum originally due to the Agent hereunder, the Company agrees, as a separate obligation and notwithstanding any such judgment, to indemnify the Agent against such loss.</w:t>
      </w:r>
    </w:p>
    <w:p>
      <w:pPr>
        <w:spacing w:after="0" w:line="20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executed by any one or more of the parties hereto and thereto in any number of counterparts, each of which shall be deemed to be an original, but all such respective counterparts shall together constitute one and the same instrument. This Agreement and any Terms Agreement may be delivered by any party by facsimile or other electronic transmission of a portable document format (PDF) file (including any electronic signature covered by the U.S. federal ESIGN Act of 2000, Uniform Electronic Transactions Act, the Electronic Signatures and Records Act or other applicable law, e.g., www.docusign.com).</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GH RESEARCH PLC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Florian Schönharting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Florian Schönharting</w:t>
      </w:r>
    </w:p>
    <w:p>
      <w:pPr>
        <w:spacing w:after="0" w:line="27"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color w:val="auto"/>
        </w:rPr>
        <w:t>Title:  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Seth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69176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Seth Rubin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Head of Global Equity Capital Markets</w:t>
      </w:r>
    </w:p>
    <w:p>
      <w:pPr>
        <w:spacing w:after="0" w:line="2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i w:val="1"/>
          <w:iCs w:val="1"/>
          <w:color w:val="auto"/>
        </w:rPr>
        <w:t>[Signature Page – Sales Agreement]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Magnus Halle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Ryan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Covatta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White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GH RESEARCH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(Nominal Value $0.025 Each)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7th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Syndicate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GH Research PLC, a public limited company incorporated under the laws of Ireland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At-the-Market Equity Offering Sales Agreement, dated May 14, 2026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between the Company and Stifel, Nicolaus &amp; Company, Incorporated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issue and sell to the Agent the Company’s ordinary shares, nominal value $0.025 per share (the “</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 and solely for the purpose of covering over-allotments, to grant to the Agent the option to purchase the additional Purchased Securities (the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Agent shall have the right to purchase from the Company all or a portion of the Additional Securities as may be necessary to cover over-allotments made in connection with the offering of the Purchased Securities, at the same purchase price per share to be paid by the Agent to the Company for the Purchased Securities. This option may be exercised by the Agent at any time (but not more than once) on or before the thirtieth day following the date hereof, by written notice to the Company. Such notice shall set forth the aggregate number of Additional Securities as to which the option is being exercised, and the date and time when the Additional Securities are to be delivered (such date and time being herein referred to as the “</w:t>
      </w:r>
      <w:r>
        <w:rPr>
          <w:rFonts w:ascii="Times New Roman" w:cs="Times New Roman" w:eastAsia="Times New Roman" w:hAnsi="Times New Roman"/>
          <w:sz w:val="18"/>
          <w:szCs w:val="18"/>
          <w:u w:val="single" w:color="auto"/>
          <w:color w:val="auto"/>
        </w:rPr>
        <w:t>Option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provided, however, that the Option Closing Date shall not be earlier than the Time of Delivery (as set forth in the Schedule hereto) nor earlier than the first business day after the date on which the option shall have been exercised nor later than the fifth business day after the date on which the option shall have been exercised. Payment of the purchase price for the Additional Securities shall be made at the Option Closing Date in the same manner and at the same office as the payment for the Purchased Securities.]*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of the provisions of the Sales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Applicable Time [and any Option Closing Date]*, except that each representation and warranty in Section 1 of the Sales Agreement which makes reference to the Prospectus (as therein defined) shall be deemed to be a representation and warranty as of the date of the Sales Agreement in relation to the Prospectus, and also a representation and warranty as of the date of this Terms Agreement [and] [,] the Settlement Date [and any Option Closing Date]* in relation to the Prospectus as amended and supplemented to relate to the Purchased Securities.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Sales Agreement), or a supplement to the Prospectus, as the case may be, relating to the Purchased Securities [and the Additional Securities]*, in the form heretofore delivered to the Agent is now proposed to be filed with the Securities and Exchange Commission.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Sales Agreement which are incorporated herein by reference, the Company agrees to issue and sell to the Agent and the latter agrees to purchase from the Company the number of Purchased Securities at the time and place and at the purchase price set forth in the Schedule hereto.</w:t>
      </w:r>
    </w:p>
    <w:p>
      <w:pPr>
        <w:spacing w:after="0" w:line="1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GH RESEARCH PLC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25031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5031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80" w:hanging="572"/>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only if the Agent has an over-allotment option.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tbl>
      <w:tblPr>
        <w:tblLayout w:type="fixed"/>
        <w:tblInd w:w="606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333333"/>
              </w:rPr>
              <w:t>A&amp;L Goodbody LLP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Dublin</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333333"/>
              </w:rPr>
              <w:t>25 North Wall Quay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Belfast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333333"/>
              </w:rPr>
              <w:t>Dublin 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London</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333333"/>
              </w:rPr>
              <w:t>D01 H104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New York</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333333"/>
              </w:rPr>
              <w:t>T: +353 1 649 2000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San Francisco</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333333"/>
              </w:rPr>
              <w:t>DX: 29 Dublin | www.algoodbody.com</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-822325</wp:posOffset>
            </wp:positionV>
            <wp:extent cx="17145" cy="822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1619885"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19885" cy="24892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333333"/>
              </w:rPr>
              <w:t>Date</w:t>
            </w:r>
          </w:p>
        </w:tc>
        <w:tc>
          <w:tcPr>
            <w:tcW w:w="20" w:type="dxa"/>
            <w:vAlign w:val="bottom"/>
            <w:shd w:val="clear" w:color="auto" w:fill="000000"/>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1A1A1A"/>
              </w:rPr>
              <w:t>14 May 2026</w:t>
            </w: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333333"/>
              </w:rPr>
              <w:t>Our ref</w:t>
            </w:r>
          </w:p>
        </w:tc>
        <w:tc>
          <w:tcPr>
            <w:tcW w:w="20" w:type="dxa"/>
            <w:vAlign w:val="bottom"/>
          </w:tcPr>
          <w:p>
            <w:pPr>
              <w:spacing w:after="0"/>
              <w:rPr>
                <w:sz w:val="18"/>
                <w:szCs w:val="18"/>
                <w:color w:val="auto"/>
              </w:rPr>
            </w:pPr>
          </w:p>
        </w:tc>
        <w:tc>
          <w:tcPr>
            <w:tcW w:w="12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1A1A1A"/>
                <w:w w:val="99"/>
              </w:rPr>
              <w:t>AC4 01448064</w:t>
            </w: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GH Research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Joshua Dawson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Dawson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Dublin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D02 RY95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Ireland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GH Research plc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acting as Irish counsel to the Company, a public limited company incorporated under the laws of Ireland (registered number 691405) in connection with the proposed equity offering by the Company of ordinary shares, nominal value $0.025 per share, in the capital of the Company up to an aggregate offering price of up to $200,000,000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pursuant to (i) the At The Market Equity Offering Sales Agreement dated 14 May 2026, between the Company and Stifel, Nicolaus &amp; Company, Incorporated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xml:space="preserve">); (ii) the registration statement on Form F-3 (File No. 333-285310) filed by the Company, on 27 February 2025,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and declared effective by the SEC on 7 March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including the prospectus contained therein and any amendments or supplements thereto, for the registration of, among other things, ordinary shares, nominal value $0.025 per share, of the Company, which may be issued from time to time on a delayed or continuous basis pursuant to Rule 415 under the Securities Act at an initial aggregate offering price not to exceed $400,000,000; and (iii) the prospectus supplement to the Registration Statement dated 14 May 2026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(the transactions contemplated therein together with those in the Sales Agreement and the Registration Statement, the</w:t>
      </w:r>
      <w:r>
        <w:rPr>
          <w:rFonts w:ascii="Times New Roman" w:cs="Times New Roman" w:eastAsia="Times New Roman" w:hAnsi="Times New Roman"/>
          <w:sz w:val="18"/>
          <w:szCs w:val="18"/>
          <w:b w:val="1"/>
          <w:bCs w:val="1"/>
          <w:color w:val="auto"/>
        </w:rPr>
        <w:t xml:space="preserve"> Transaction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this Opinion, we have examined and relied upon copies of:</w:t>
      </w:r>
    </w:p>
    <w:p>
      <w:pPr>
        <w:spacing w:after="0" w:line="22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 xml:space="preserve">the Sales Agreement, the Registration Statement and the Prospectus Supplement (together, the </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and</w:t>
      </w:r>
    </w:p>
    <w:p>
      <w:pPr>
        <w:spacing w:after="0" w:line="2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such corporate records of the Company as we have deemed necessary as a basis for the opinions hereinafter expressed.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rendering this Opinion, we have examined, and have assumed, without any responsibility on our part if any assumption proves to have been untrue as we have not independently verified any assumption, the truth, accuracy and completeness of the contents of, all such records, documents and certificates of officers of the Company and of public officials as to factual matters and have conducted such searches on 14 May 2026, in public registries in Ireland as we have deemed necessary or appropriate for the purposes of this Opinion but have made no independent investigation regarding such factual matters. In our examination we have assumed the (continued) truth, accuracy and completeness of the information contained in such documents, the genuineness of all signatures (electronic or otherwise), that any signatures (electronic or otherwise) are the signatures of the persons who they purport to be, the authenticity of all documents submitted to us as originals, the conformity to original documents of all documents submitted to us as certified or photostatic copies and the authenticity of the originals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4D4D"/>
        </w:rPr>
        <w:t>CE Gill • JG Grennan • VJ Power • SM Doggett • G O’Toole • N O’Sullivan • MJ Ward • D Widger • C Christle • S Ó Cróinin • DR Baxter • A McCarthy • JF Whelan • JB Somerville</w:t>
      </w:r>
    </w:p>
    <w:p>
      <w:pPr>
        <w:jc w:val="both"/>
        <w:spacing w:after="0" w:line="250" w:lineRule="auto"/>
        <w:rPr>
          <w:sz w:val="20"/>
          <w:szCs w:val="20"/>
          <w:color w:val="auto"/>
        </w:rPr>
      </w:pPr>
      <w:r>
        <w:rPr>
          <w:rFonts w:ascii="Times New Roman" w:cs="Times New Roman" w:eastAsia="Times New Roman" w:hAnsi="Times New Roman"/>
          <w:sz w:val="18"/>
          <w:szCs w:val="18"/>
          <w:color w:val="4D4D4D"/>
        </w:rPr>
        <w:t>MF Barr • AM Curran • A Roberts • RM Moore • D Main • J Cahir • PM Murray • P Walker • K Furlong • PT Fahy • M Coghlan • DR Francis • A Casey • B Hosty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4D4D4D"/>
        </w:rPr>
        <w:t>M O’Brien • L Mulleady • K Ryan • E Hurley • D Dagostino • R Grey • R Lyons • J Sheehy • C Carroll • SE Carson • P Diggin • J Williams • A O’Beirne • J Dallas • SM Lynch</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4D4D4D"/>
        </w:rPr>
        <w:t>M McElhinney • C Owens • AD Ion • K O'Connor • T Casey • M Doyle • CJ Comerford • R Marron • K O'Shaughnessy • S O'Connor • SE Murphy • D Nangle • C Ó Conluain • N McMahon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4D4D4D"/>
        </w:rPr>
        <w:t>HP Brandt • A Sheridan • N Cole • M Devane • D Fitzgerald • G McDonald • N Meehan • R O'Driscoll • B O'Malley • C Bollard • M Daly • D Geraghty • LC Kennedy • E Mulhern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4D4D4D"/>
        </w:rPr>
        <w:t>MJ Ellis • D Griffin • D McElroy • C Culleton • B Nic Suibhne • S Quinlivan • J Rattigan • K Mulhern • A Muldowney • L Dunne • A Burke • C Bergin • P Fogarty • CM Carroll • E Keane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4D4D4D"/>
        </w:rPr>
        <w:t>D Daly Byrne • S Kearney • SE King • J Greene • C Cashin • T Glavey • E O Connor • D Broderick • K Harnett • E O'Brien • S Ahern • BP Curran • J Quirke • H Shaw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D4D4D"/>
        </w:rPr>
        <w:t>E  Browne  •  MM  O'Brien  • S  Egan  •  A  O'Donoghue  •  L  Hogan • S D’Ardis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D4D4D"/>
        </w:rPr>
        <w:t>Consultants: Professor JCW Wylie • MA Greene • AV Fanagan • PM Law • SW Haughey • PD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ind w:left="560" w:right="20" w:hanging="552"/>
        <w:spacing w:after="0" w:line="282" w:lineRule="auto"/>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9885" cy="248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285"/>
                    </a:xfrm>
                    <a:prstGeom prst="rect">
                      <a:avLst/>
                    </a:prstGeom>
                    <a:noFill/>
                  </pic:spPr>
                </pic:pic>
              </a:graphicData>
            </a:graphic>
          </wp:anchor>
        </w:drawing>
        <w:t>We have further assumed the following without any responsibility on our part if any assumption proves to have been untrue as we have not independently verified any assumption: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Shares</w:t>
      </w:r>
    </w:p>
    <w:p>
      <w:pPr>
        <w:spacing w:after="0" w:line="223" w:lineRule="exact"/>
        <w:rPr>
          <w:sz w:val="20"/>
          <w:szCs w:val="20"/>
          <w:color w:val="auto"/>
        </w:rPr>
      </w:pPr>
    </w:p>
    <w:p>
      <w:pPr>
        <w:jc w:val="both"/>
        <w:ind w:left="560" w:hanging="552"/>
        <w:spacing w:after="0" w:line="286" w:lineRule="auto"/>
        <w:tabs>
          <w:tab w:leader="none" w:pos="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 xml:space="preserve">that the memorandum and articles of association of the Company as amended on 24 June 2021 (the </w:t>
      </w:r>
      <w:r>
        <w:rPr>
          <w:rFonts w:ascii="Times New Roman" w:cs="Times New Roman" w:eastAsia="Times New Roman" w:hAnsi="Times New Roman"/>
          <w:sz w:val="18"/>
          <w:szCs w:val="18"/>
          <w:b w:val="1"/>
          <w:bCs w:val="1"/>
          <w:color w:val="auto"/>
        </w:rPr>
        <w:t>Constitution</w:t>
      </w:r>
      <w:r>
        <w:rPr>
          <w:rFonts w:ascii="Times New Roman" w:cs="Times New Roman" w:eastAsia="Times New Roman" w:hAnsi="Times New Roman"/>
          <w:sz w:val="18"/>
          <w:szCs w:val="18"/>
          <w:color w:val="auto"/>
        </w:rPr>
        <w:t>) and as are available in the Irish Companies Registration Office as at the date of this Opinion are correct and up to date;</w:t>
      </w:r>
    </w:p>
    <w:p>
      <w:pPr>
        <w:spacing w:after="0" w:line="159"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that, at the time of issuance of the Shares (or any of them), such issuance shall not be in contravention or breach of any agreement, undertaking, arrangement, deed or covenant affecting the Company or to which the Company is a party or otherwise bound or subject, provided that (without any independent investigation on our part) we are not aware of any such contravention or breach;</w:t>
      </w:r>
    </w:p>
    <w:p>
      <w:pPr>
        <w:spacing w:after="0" w:line="176"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that, at the time of issuance of the Shares (or any of them), the Company will have sufficient authorised but unissued share capital to issue the Shares, and the Company will not have prior to, or by virtue of, such issuance, exceeded or exceed the maximum number of Shares permitted to be issued pursuant to the Constitution and the Companies Act;</w:t>
      </w:r>
    </w:p>
    <w:p>
      <w:pPr>
        <w:spacing w:after="0" w:line="176" w:lineRule="exact"/>
        <w:rPr>
          <w:sz w:val="20"/>
          <w:szCs w:val="20"/>
          <w:color w:val="auto"/>
        </w:rPr>
      </w:pPr>
    </w:p>
    <w:p>
      <w:pPr>
        <w:jc w:val="both"/>
        <w:ind w:left="560" w:hanging="552"/>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that each party (other than the Company, for which we make no such assumption), to the extent that its activities in relation to the Transaction Documents will constitute the provision of an investment service operating in Ireland and require authorisation, is acting under and within the terms of an authorisation to do so (which authorisation has been granted under the European Union (Markets in Financial Instruments) Regulations 2017 (as amended) or a competent authority for the purposes of Directive 2014/65/EU of 15 May 2014, as amended or extended from time to time, in another Member State) or is exempt from the requirement to have such authorisation;</w:t>
      </w:r>
    </w:p>
    <w:p>
      <w:pPr>
        <w:spacing w:after="0" w:line="183"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 xml:space="preserve">the compliance by the parties within the prescribed period(s) and in the prescribed manner, with any notification obligations that they may have under the provisions of Sections 257 to 265, 1048 and 1050 of the Companies Act 2014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and any respective notification obligations arising under the Irish Takeover Panel Act 1997 and any rules thereunder;</w:t>
      </w:r>
    </w:p>
    <w:p>
      <w:pPr>
        <w:spacing w:after="0" w:line="176"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issuance of the Shares will be in compliance with the Irish Takeover Panel Act 1997, Takeover Rules 2022, and all applicable Irish company, takeover, securities, market abuse, insider dealing laws and other rules and regulations;</w:t>
      </w:r>
    </w:p>
    <w:p>
      <w:pPr>
        <w:spacing w:after="0" w:line="162" w:lineRule="exact"/>
        <w:rPr>
          <w:sz w:val="20"/>
          <w:szCs w:val="20"/>
          <w:color w:val="auto"/>
        </w:rPr>
      </w:pPr>
    </w:p>
    <w:p>
      <w:pPr>
        <w:jc w:val="both"/>
        <w:ind w:left="560" w:hanging="552"/>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that the Registration Statement and/or the Prospectus Supplement do not constitute (and is not intended/required to constitute) a prospectus within the meaning of Part 23 of the Companies Act and that no offer of securities to the public is made, or will be made, that requires the publication of a prospectus pursuant to European Union and/or Irish prospectus law in general, or in particular pursuant to the Prospectus (Directive 2017/1128) Regulations EU 2017/2019 (as amended);;</w:t>
      </w:r>
    </w:p>
    <w:p>
      <w:pPr>
        <w:spacing w:after="0" w:line="180"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that any Shares issued under the Transaction Documents will be in consideration of the receipt by the Company prior to the issuance of such Shares pursuant thereto of cash at least equal to the nominal value of such Shares and any premium required to be paid up on the Shares pursuant to their terms of issuance;</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9885" cy="248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285"/>
                    </a:xfrm>
                    <a:prstGeom prst="rect">
                      <a:avLst/>
                    </a:prstGeom>
                    <a:noFill/>
                  </pic:spPr>
                </pic:pic>
              </a:graphicData>
            </a:graphic>
          </wp:anchor>
        </w:drawing>
        <w:t>Authenticity and Bona Fides</w:t>
      </w:r>
    </w:p>
    <w:p>
      <w:pPr>
        <w:spacing w:after="0" w:line="227"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that there are no agreements or arrangements in existence which in any way amend or vary the terms of the Transaction or the Transaction Documents;</w:t>
      </w:r>
    </w:p>
    <w:p>
      <w:pPr>
        <w:spacing w:after="0" w:line="162" w:lineRule="exact"/>
        <w:rPr>
          <w:sz w:val="20"/>
          <w:szCs w:val="20"/>
          <w:color w:val="auto"/>
        </w:rPr>
      </w:pPr>
    </w:p>
    <w:p>
      <w:pPr>
        <w:jc w:val="both"/>
        <w:ind w:left="560" w:hanging="552"/>
        <w:spacing w:after="0" w:line="256" w:lineRule="auto"/>
        <w:tabs>
          <w:tab w:leader="none" w:pos="540" w:val="left"/>
        </w:tabs>
        <w:rPr>
          <w:sz w:val="20"/>
          <w:szCs w:val="20"/>
          <w:color w:val="auto"/>
        </w:rPr>
      </w:pPr>
      <w:r>
        <w:rPr>
          <w:rFonts w:ascii="Times New Roman" w:cs="Times New Roman" w:eastAsia="Times New Roman" w:hAnsi="Times New Roman"/>
          <w:sz w:val="18"/>
          <w:szCs w:val="18"/>
          <w:color w:val="auto"/>
        </w:rPr>
        <w:t>2.10</w:t>
        <w:tab/>
        <w:t>that copies produced to us of minutes of meetings, resolutions and/or authorities of the shareholders or the Board, including any appropriate committee appointed thereby, upon which we relied, were duly convened, duly quorate and held, that those present at any such meetings were entitled to attend and vote at the meeting and acted bona fide throughout and that no further resolutions have been passed or other action taken which would or might alter the effectiveness thereof and that such resolutions have not been varied, amended or revoked in any respect or have expired and that the Shares will be issued in accordance with such resolutions and authorities and the terms of the applicable Transaction Document(s);</w:t>
      </w:r>
    </w:p>
    <w:p>
      <w:pPr>
        <w:spacing w:after="0" w:line="187"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2.11</w:t>
        <w:tab/>
        <w:t>that there is, at the relevant time of the allotment and issuance of the Shares (or any of them), no matter affecting the authority of the Board to allot and issue the Shares, not disclosed by the Constitution or the resolutions produced to us, which would have any adverse implications in relation to the opinions expressed in this Opinion;</w:t>
      </w:r>
    </w:p>
    <w:p>
      <w:pPr>
        <w:spacing w:after="0" w:line="176"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2.12</w:t>
        <w:tab/>
        <w:t>that each director of the Company has disclosed any interest which he or she may have in the Transaction in accordance with the provisions of the Companies Act and the Constitution and none of the directors of the Company has any interest in the Transaction except to the extent permitted by the Constitution;</w:t>
      </w:r>
    </w:p>
    <w:p>
      <w:pPr>
        <w:spacing w:after="0" w:line="176" w:lineRule="exact"/>
        <w:rPr>
          <w:sz w:val="20"/>
          <w:szCs w:val="20"/>
          <w:color w:val="auto"/>
        </w:rPr>
      </w:pPr>
    </w:p>
    <w:p>
      <w:pPr>
        <w:jc w:val="both"/>
        <w:ind w:left="560"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2.13</w:t>
        <w:tab/>
        <w:t>the absence of fraud, coercion, duress or undue influence and lack of bad faith on the part of the Company and its respective officers, employees, agents and advisers and that the Company will issue the Shares in good faith, for its legitimate and bona fide business purposes;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Solvency and Insolvency</w:t>
      </w:r>
    </w:p>
    <w:p>
      <w:pPr>
        <w:spacing w:after="0" w:line="227" w:lineRule="exact"/>
        <w:rPr>
          <w:sz w:val="20"/>
          <w:szCs w:val="20"/>
          <w:color w:val="auto"/>
        </w:rPr>
      </w:pPr>
    </w:p>
    <w:p>
      <w:pPr>
        <w:jc w:val="both"/>
        <w:ind w:left="560" w:hanging="552"/>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2.14</w:t>
        <w:tab/>
        <w:t>that: (i) the Company will be fully solvent at the time of and immediately following the issue of any Shares; (ii) no resolution or petition for the appointment of a liquidator or examiner will be passed or presented prior to the issue of any Shares; (iii) no receiver will have been appointed in relation to any of the assets or undertaking of the Company prior to the issue of any Shares and (iv) no composition in satisfaction of debts, scheme of arrangement, or compromise or arrangement with creditors or members (or any class of creditors or members) will be proposed, sanctioned or approved in relation to the Company prior to the issue of any Shares;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Commercial Benefit</w:t>
      </w:r>
    </w:p>
    <w:p>
      <w:pPr>
        <w:spacing w:after="0" w:line="227" w:lineRule="exact"/>
        <w:rPr>
          <w:sz w:val="20"/>
          <w:szCs w:val="20"/>
          <w:color w:val="auto"/>
        </w:rPr>
      </w:pPr>
    </w:p>
    <w:p>
      <w:pPr>
        <w:jc w:val="both"/>
        <w:ind w:left="560"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2.15</w:t>
        <w:tab/>
        <w:t>the Company has entered into the Transaction in good faith, for its legitimate business purposes, for good consideration, and that it derives commercial benefit from the Transaction commensurate with the risks undertaken by it in the Transaction; and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Assistance and Connected Transactions</w:t>
      </w:r>
    </w:p>
    <w:p>
      <w:pPr>
        <w:spacing w:after="0" w:line="227"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2.16</w:t>
        <w:tab/>
        <w:t>that the Company is not, by entering into the Transaction Documents or performing its obligations thereunder, providing financial assistance for the purpose of an acquisition (by way of subscription, purchase, exchange or otherwise) made or to be made by any person of any shares in the Company which would be prohibited by Section 82 of the Companies Act.</w:t>
      </w:r>
    </w:p>
    <w:p>
      <w:pPr>
        <w:spacing w:after="0" w:line="176" w:lineRule="exact"/>
        <w:rPr>
          <w:sz w:val="20"/>
          <w:szCs w:val="20"/>
          <w:color w:val="auto"/>
        </w:rPr>
      </w:pPr>
    </w:p>
    <w:p>
      <w:pPr>
        <w:jc w:val="both"/>
        <w:ind w:left="560" w:hanging="552"/>
        <w:spacing w:after="0" w:line="261"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made such further investigation and reviewed such other documents as we have considered requisite or desirable, subject to the foregoing and to the within additional qualifications and assumptions, we are of the opinion that the Shares, when issued in accordance with the terms and conditions of the Sales Agreement, including the payment of the relevant subscription amounts, will be duly authorised, validly issued, fully paid and will not be subject to calls for any additional payments (non-assessable).</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ind w:left="560" w:right="4440" w:hanging="552"/>
        <w:spacing w:after="0" w:line="500" w:lineRule="auto"/>
        <w:tabs>
          <w:tab w:leader="none" w:pos="5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9885" cy="248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285"/>
                    </a:xfrm>
                    <a:prstGeom prst="rect">
                      <a:avLst/>
                    </a:prstGeom>
                    <a:noFill/>
                  </pic:spPr>
                </pic:pic>
              </a:graphicData>
            </a:graphic>
          </wp:anchor>
        </w:drawing>
        <w:t xml:space="preserve">The opinions set forth in this Opinion are given subject to the following qualifications: </w:t>
      </w:r>
      <w:r>
        <w:rPr>
          <w:rFonts w:ascii="Times New Roman" w:cs="Times New Roman" w:eastAsia="Times New Roman" w:hAnsi="Times New Roman"/>
          <w:sz w:val="18"/>
          <w:szCs w:val="18"/>
          <w:i w:val="1"/>
          <w:iCs w:val="1"/>
          <w:color w:val="auto"/>
        </w:rPr>
        <w:t>General Matters</w:t>
      </w:r>
    </w:p>
    <w:p>
      <w:pPr>
        <w:spacing w:after="0" w:line="2"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 particular course of dealing among the parties or an oral amendment, variation or waiver may result in an Irish court finding that the terms of the Transaction Documents have been amended, varied or waived even if such course of dealing or oral amendment, variation or waiver is not reflected in writing among the parties;</w:t>
      </w:r>
    </w:p>
    <w:p>
      <w:pPr>
        <w:spacing w:after="0" w:line="176" w:lineRule="exact"/>
        <w:rPr>
          <w:sz w:val="20"/>
          <w:szCs w:val="20"/>
          <w:color w:val="auto"/>
        </w:rPr>
      </w:pPr>
    </w:p>
    <w:p>
      <w:pPr>
        <w:jc w:val="both"/>
        <w:ind w:left="560"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no opinion is expressed on the irrevocability of, or on the enforceability of the delegation of, any power of attorney under the Transaction Documents;</w:t>
      </w:r>
    </w:p>
    <w:p>
      <w:pPr>
        <w:spacing w:after="0" w:line="162"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no opinion is expressed on any deed of assignment, transfer, accession or similar document executed after the date of this opinion in relation to any of the rights and obligations contained in the Transaction Documents;</w:t>
      </w:r>
    </w:p>
    <w:p>
      <w:pPr>
        <w:spacing w:after="0" w:line="162"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no opinion is expressed on any deed or agreement envisaged by the Transaction Documents to be entered at a future date or any future action taken by a party under the Transaction Documents;</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no opinion is expressed as to whether the Transaction Documents breach any other agreement or instrument;</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Sanctions</w:t>
      </w:r>
    </w:p>
    <w:p>
      <w:pPr>
        <w:spacing w:after="0" w:line="227" w:lineRule="exact"/>
        <w:rPr>
          <w:sz w:val="20"/>
          <w:szCs w:val="20"/>
          <w:color w:val="auto"/>
        </w:rPr>
      </w:pPr>
    </w:p>
    <w:p>
      <w:pPr>
        <w:jc w:val="both"/>
        <w:ind w:left="560" w:hanging="552"/>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if a party to any Transaction Document or to any transfer of, or payment in respect of, the Transaction Documents is controlled by or otherwise connected with a person (or is itself) resident in, incorporated in or constituted under the laws of a country which is the subject of United Nations, European Union or Irish sanctions or sanctions under the Treaty on the Functioning of the European Union, as amended, or is otherwise the target of any such sanctions, then obligations to that party under the relevant Transaction Documents or in respect of the relevant transfer or payment may be unenforceable or void; and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Execution of Documents</w:t>
      </w:r>
    </w:p>
    <w:p>
      <w:pPr>
        <w:spacing w:after="0" w:line="227" w:lineRule="exact"/>
        <w:rPr>
          <w:sz w:val="20"/>
          <w:szCs w:val="20"/>
          <w:color w:val="auto"/>
        </w:rPr>
      </w:pPr>
    </w:p>
    <w:p>
      <w:pPr>
        <w:jc w:val="both"/>
        <w:ind w:left="560" w:hanging="552"/>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we note the decision in the English case of R (on the application of Mercury Tax Ltd) v. Revenue and Customs Commissioners [2008] EWHC 2721. Although this decision will not be binding on the courts of Ireland it will be considered as persuasive authority. One of the decisions in that case would appear to indicate that a previously executed signature page from one document may not be transferred to another document, even where the documents in question are simply updated versions of the same document. Our Opinion is qualified by reference to the above referenced decision.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confined ourselves to matters of Irish law. We have made no investigation of and express no opinion on any laws other than the laws of Ireland (and the interpretation thereof) in force as at the date hereof. This Opinion speaks only as of its date. We are not under any obligation to update this Opinion from time to time, nor to notify you of any change of law, facts or circumstances referred to or relied upon in the giving of this Opinion.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Opinion is given solely for the benefit of the addressee of this Opinion and may not be relied upon by any other person without our prior written consent, provided, however, that it may be relied upon by persons entitled to rely on it pursuant to applicable provisions of US federal securities laws.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is also strictly confined to the matters expressly stated herein and is not to be read as extending by implication or otherwise to any other matter.</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9885" cy="248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285"/>
                    </a:xfrm>
                    <a:prstGeom prst="rect">
                      <a:avLst/>
                    </a:prstGeom>
                    <a:noFill/>
                  </pic:spPr>
                </pic:pic>
              </a:graphicData>
            </a:graphic>
          </wp:anchor>
        </w:drawing>
        <w:t>We hereby consent to the filing of this Opinion with the SEC as an exhibit to the Company's Current Report on Form 6-K filed with the SEC on 14 May 2026 and to the use of our name therein and in the related prospectus and in any prospectus supplement under the caption "Legal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is governed by and construed in accordance with the laws of 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A1A1A"/>
        </w:rPr>
        <w:t>/s/ A&amp;L Goodbody LLP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Letter"/>
      <w:start w:val="1"/>
    </w:lvl>
  </w:abstractNum>
  <w:abstractNum w:abstractNumId="1">
    <w:nsid w:val="7C83E458"/>
    <w:multiLevelType w:val="hybridMultilevel"/>
    <w:lvl w:ilvl="0">
      <w:lvlJc w:val="left"/>
      <w:lvlText w:val="(%1)"/>
      <w:numFmt w:val="lowerLetter"/>
      <w:start w:val="2"/>
    </w:lvl>
  </w:abstractNum>
  <w:abstractNum w:abstractNumId="2">
    <w:nsid w:val="257130A3"/>
    <w:multiLevelType w:val="hybridMultilevel"/>
    <w:lvl w:ilvl="0">
      <w:lvlJc w:val="left"/>
      <w:lvlText w:val="(%1)"/>
      <w:numFmt w:val="lowerLetter"/>
      <w:start w:val="6"/>
    </w:lvl>
  </w:abstractNum>
  <w:abstractNum w:abstractNumId="3">
    <w:nsid w:val="62BBD95A"/>
    <w:multiLevelType w:val="hybridMultilevel"/>
    <w:lvl w:ilvl="0">
      <w:lvlJc w:val="left"/>
      <w:lvlText w:val="(%1)"/>
      <w:numFmt w:val="lowerLetter"/>
      <w:start w:val="11"/>
    </w:lvl>
  </w:abstractNum>
  <w:abstractNum w:abstractNumId="4">
    <w:nsid w:val="436C6125"/>
    <w:multiLevelType w:val="hybridMultilevel"/>
    <w:lvl w:ilvl="0">
      <w:lvlJc w:val="left"/>
      <w:lvlText w:val="(%1)"/>
      <w:numFmt w:val="lowerLetter"/>
      <w:start w:val="14"/>
    </w:lvl>
  </w:abstractNum>
  <w:abstractNum w:abstractNumId="5">
    <w:nsid w:val="628C895D"/>
    <w:multiLevelType w:val="hybridMultilevel"/>
    <w:lvl w:ilvl="0">
      <w:lvlJc w:val="left"/>
      <w:lvlText w:val="(%1)"/>
      <w:numFmt w:val="lowerLetter"/>
      <w:start w:val="18"/>
    </w:lvl>
  </w:abstractNum>
  <w:abstractNum w:abstractNumId="6">
    <w:nsid w:val="333AB105"/>
    <w:multiLevelType w:val="hybridMultilevel"/>
    <w:lvl w:ilvl="0">
      <w:lvlJc w:val="left"/>
      <w:lvlText w:val="(%1)"/>
      <w:numFmt w:val="lowerLetter"/>
      <w:start w:val="20"/>
    </w:lvl>
  </w:abstractNum>
  <w:abstractNum w:abstractNumId="7">
    <w:nsid w:val="721DA317"/>
    <w:multiLevelType w:val="hybridMultilevel"/>
    <w:lvl w:ilvl="0">
      <w:lvlJc w:val="left"/>
      <w:lvlText w:val="(%1)"/>
      <w:numFmt w:val="lowerLetter"/>
      <w:start w:val="24"/>
    </w:lvl>
  </w:abstractNum>
  <w:abstractNum w:abstractNumId="8">
    <w:nsid w:val="2443A858"/>
    <w:multiLevelType w:val="hybridMultilevel"/>
    <w:lvl w:ilvl="0">
      <w:lvlJc w:val="left"/>
      <w:lvlText w:val="(%1)"/>
      <w:numFmt w:val="lowerLetter"/>
      <w:start w:val="27"/>
    </w:lvl>
  </w:abstractNum>
  <w:abstractNum w:abstractNumId="9">
    <w:nsid w:val="2D1D5AE9"/>
    <w:multiLevelType w:val="hybridMultilevel"/>
    <w:lvl w:ilvl="0">
      <w:lvlJc w:val="left"/>
      <w:lvlText w:val="(%1)"/>
      <w:numFmt w:val="lowerLetter"/>
      <w:start w:val="30"/>
    </w:lvl>
  </w:abstractNum>
  <w:abstractNum w:abstractNumId="10">
    <w:nsid w:val="6763845E"/>
    <w:multiLevelType w:val="hybridMultilevel"/>
    <w:lvl w:ilvl="0">
      <w:lvlJc w:val="left"/>
      <w:lvlText w:val="(%1)"/>
      <w:numFmt w:val="lowerLetter"/>
      <w:start w:val="34"/>
    </w:lvl>
  </w:abstractNum>
  <w:abstractNum w:abstractNumId="11">
    <w:nsid w:val="75A2A8D4"/>
    <w:multiLevelType w:val="hybridMultilevel"/>
    <w:lvl w:ilvl="0">
      <w:lvlJc w:val="left"/>
      <w:lvlText w:val="(%1)"/>
      <w:numFmt w:val="lowerLetter"/>
      <w:start w:val="35"/>
    </w:lvl>
  </w:abstractNum>
  <w:abstractNum w:abstractNumId="12">
    <w:nsid w:val="8EDBDAB"/>
    <w:multiLevelType w:val="hybridMultilevel"/>
    <w:lvl w:ilvl="0">
      <w:lvlJc w:val="left"/>
      <w:lvlText w:val="(%1)"/>
      <w:numFmt w:val="lowerLetter"/>
      <w:start w:val="41"/>
    </w:lvl>
  </w:abstractNum>
  <w:abstractNum w:abstractNumId="13">
    <w:nsid w:val="79838CB2"/>
    <w:multiLevelType w:val="hybridMultilevel"/>
    <w:lvl w:ilvl="0">
      <w:lvlJc w:val="left"/>
      <w:lvlText w:val="(%1)"/>
      <w:numFmt w:val="lowerLetter"/>
      <w:start w:val="48"/>
    </w:lvl>
  </w:abstractNum>
  <w:abstractNum w:abstractNumId="14">
    <w:nsid w:val="4353D0CD"/>
    <w:multiLevelType w:val="hybridMultilevel"/>
    <w:lvl w:ilvl="0">
      <w:lvlJc w:val="left"/>
      <w:lvlText w:val="%1"/>
      <w:numFmt w:val="upperLetter"/>
      <w:start w:val="1"/>
    </w:lvl>
    <w:lvl w:ilvl="1">
      <w:lvlJc w:val="left"/>
      <w:lvlText w:val="(%2)"/>
      <w:numFmt w:val="lowerLetter"/>
      <w:start w:val="53"/>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lowerLetter"/>
      <w:start w:val="56"/>
    </w:lvl>
  </w:abstractNum>
  <w:abstractNum w:abstractNumId="17">
    <w:nsid w:val="54E49EB4"/>
    <w:multiLevelType w:val="hybridMultilevel"/>
    <w:lvl w:ilvl="0">
      <w:lvlJc w:val="left"/>
      <w:lvlText w:val="(%1)"/>
      <w:numFmt w:val="lowerLetter"/>
      <w:start w:val="6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lvl w:ilvl="1">
      <w:lvlJc w:val="left"/>
      <w:lvlText w:val="(%2)"/>
      <w:numFmt w:val="lowerLetter"/>
      <w:start w:val="2"/>
    </w:lvl>
  </w:abstractNum>
  <w:abstractNum w:abstractNumId="20">
    <w:nsid w:val="836C40E"/>
    <w:multiLevelType w:val="hybridMultilevel"/>
    <w:lvl w:ilvl="0">
      <w:lvlJc w:val="left"/>
      <w:lvlText w:val="(%1)"/>
      <w:numFmt w:val="lowerLetter"/>
      <w:start w:val="35"/>
    </w:lvl>
    <w:lvl w:ilvl="1">
      <w:lvlJc w:val="left"/>
      <w:lvlText w:val="(%2)"/>
      <w:numFmt w:val="lowerLetter"/>
      <w:start w:val="4"/>
    </w:lvl>
  </w:abstractNum>
  <w:abstractNum w:abstractNumId="21">
    <w:nsid w:val="2901D82"/>
    <w:multiLevelType w:val="hybridMultilevel"/>
    <w:lvl w:ilvl="0">
      <w:lvlJc w:val="left"/>
      <w:lvlText w:val="(%1)"/>
      <w:numFmt w:val="lowerLetter"/>
      <w:start w:val="7"/>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1)"/>
      <w:numFmt w:val="lowerLetter"/>
      <w:start w:val="10"/>
    </w:lvl>
  </w:abstractNum>
  <w:abstractNum w:abstractNumId="25">
    <w:nsid w:val="7C3DBD3D"/>
    <w:multiLevelType w:val="hybridMultilevel"/>
    <w:lvl w:ilvl="0">
      <w:lvlJc w:val="left"/>
      <w:lvlText w:val="(%1)"/>
      <w:numFmt w:val="lowerLetter"/>
      <w:start w:val="14"/>
    </w:lvl>
  </w:abstractNum>
  <w:abstractNum w:abstractNumId="26">
    <w:nsid w:val="737B8DDC"/>
    <w:multiLevelType w:val="hybridMultilevel"/>
    <w:lvl w:ilvl="0">
      <w:lvlJc w:val="left"/>
      <w:lvlText w:val="(%1)"/>
      <w:numFmt w:val="lowerLetter"/>
      <w:start w:val="1"/>
    </w:lvl>
    <w:lvl w:ilvl="1">
      <w:lvlJc w:val="left"/>
      <w:lvlText w:val="(%2)"/>
      <w:numFmt w:val="lowerLetter"/>
      <w:start w:val="35"/>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8"/>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3"/>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2"/>
      <w:numFmt w:val="bullet"/>
      <w:start w:val="1"/>
    </w:lvl>
  </w:abstractNum>
  <w:abstractNum w:abstractNumId="34">
    <w:nsid w:val="440BADFC"/>
    <w:multiLevelType w:val="hybridMultilevel"/>
    <w:lvl w:ilvl="0">
      <w:lvlJc w:val="left"/>
      <w:lvlText w:val="3"/>
      <w:numFmt w:val="bullet"/>
      <w:start w:val="1"/>
    </w:lvl>
  </w:abstractNum>
  <w:abstractNum w:abstractNumId="35">
    <w:nsid w:val="5072367"/>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2026-05-14T15:51:53Z</dcterms:created>
  <dcterms:modified xsi:type="dcterms:W3CDTF">2026-05-14T15:51:53Z</dcterms:modified>
</cp:coreProperties>
</file>