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0" w:lineRule="exact"/>
        <w:rPr>
          <w:sz w:val="24"/>
          <w:szCs w:val="24"/>
          <w:color w:val="auto"/>
        </w:rPr>
      </w:pPr>
    </w:p>
    <w:p>
      <w:pPr>
        <w:spacing w:after="0" w:line="206"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May 14, 2026.</w:t>
      </w:r>
    </w:p>
    <w:p>
      <w:pPr>
        <w:spacing w:after="0" w:line="30" w:lineRule="exact"/>
        <w:rPr>
          <w:sz w:val="24"/>
          <w:szCs w:val="24"/>
          <w:color w:val="auto"/>
        </w:rPr>
      </w:pPr>
    </w:p>
    <w:p>
      <w:pPr>
        <w:ind w:left="700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573278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2780" cy="158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87630</wp:posOffset>
            </wp:positionV>
            <wp:extent cx="5732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2780" cy="8255"/>
                    </a:xfrm>
                    <a:prstGeom prst="rect">
                      <a:avLst/>
                    </a:prstGeom>
                    <a:noFill/>
                  </pic:spPr>
                </pic:pic>
              </a:graphicData>
            </a:graphic>
          </wp:anchor>
        </w:drawing>
      </w:r>
    </w:p>
    <w:p>
      <w:pPr>
        <w:spacing w:after="0" w:line="26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67945</wp:posOffset>
            </wp:positionV>
            <wp:extent cx="1019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spacing w:after="0" w:line="17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FORM F-3</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49530</wp:posOffset>
            </wp:positionV>
            <wp:extent cx="1019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spacing w:after="0" w:line="14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GH Research PLC</w:t>
      </w:r>
    </w:p>
    <w:p>
      <w:pPr>
        <w:spacing w:after="0" w:line="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127" w:lineRule="exact"/>
        <w:rPr>
          <w:sz w:val="24"/>
          <w:szCs w:val="24"/>
          <w:color w:val="auto"/>
        </w:rPr>
      </w:pPr>
    </w:p>
    <w:tbl>
      <w:tblPr>
        <w:tblLayout w:type="fixed"/>
        <w:tblInd w:w="1300" w:type="dxa"/>
        <w:tblCellMar>
          <w:top w:w="0" w:type="dxa"/>
          <w:left w:w="0" w:type="dxa"/>
          <w:bottom w:w="0" w:type="dxa"/>
          <w:right w:w="0" w:type="dxa"/>
        </w:tblCellMar>
      </w:tblPr>
      <w:tr>
        <w:trPr>
          <w:trHeight w:val="192"/>
        </w:trPr>
        <w:tc>
          <w:tcPr>
            <w:tcW w:w="3300" w:type="dxa"/>
            <w:vAlign w:val="bottom"/>
          </w:tcPr>
          <w:p>
            <w:pPr>
              <w:jc w:val="center"/>
              <w:ind w:right="1425"/>
              <w:spacing w:after="0"/>
              <w:rPr>
                <w:sz w:val="20"/>
                <w:szCs w:val="20"/>
                <w:color w:val="auto"/>
              </w:rPr>
            </w:pPr>
            <w:r>
              <w:rPr>
                <w:rFonts w:ascii="Times New Roman" w:cs="Times New Roman" w:eastAsia="Times New Roman" w:hAnsi="Times New Roman"/>
                <w:sz w:val="15"/>
                <w:szCs w:val="15"/>
                <w:b w:val="1"/>
                <w:bCs w:val="1"/>
                <w:color w:val="auto"/>
              </w:rPr>
              <w:t>Ireland</w:t>
            </w:r>
          </w:p>
        </w:tc>
        <w:tc>
          <w:tcPr>
            <w:tcW w:w="2900" w:type="dxa"/>
            <w:vAlign w:val="bottom"/>
          </w:tcPr>
          <w:p>
            <w:pPr>
              <w:jc w:val="center"/>
              <w:ind w:left="1445"/>
              <w:spacing w:after="0"/>
              <w:rPr>
                <w:sz w:val="20"/>
                <w:szCs w:val="20"/>
                <w:color w:val="auto"/>
              </w:rPr>
            </w:pPr>
            <w:r>
              <w:rPr>
                <w:rFonts w:ascii="Times New Roman" w:cs="Times New Roman" w:eastAsia="Times New Roman" w:hAnsi="Times New Roman"/>
                <w:sz w:val="15"/>
                <w:szCs w:val="15"/>
                <w:b w:val="1"/>
                <w:bCs w:val="1"/>
                <w:color w:val="auto"/>
              </w:rPr>
              <w:t>NOT APPLICABLE</w:t>
            </w:r>
          </w:p>
        </w:tc>
      </w:tr>
      <w:tr>
        <w:trPr>
          <w:trHeight w:val="188"/>
        </w:trPr>
        <w:tc>
          <w:tcPr>
            <w:tcW w:w="3300" w:type="dxa"/>
            <w:vAlign w:val="bottom"/>
          </w:tcPr>
          <w:p>
            <w:pPr>
              <w:jc w:val="center"/>
              <w:ind w:right="1425"/>
              <w:spacing w:after="0"/>
              <w:rPr>
                <w:sz w:val="20"/>
                <w:szCs w:val="20"/>
                <w:color w:val="auto"/>
              </w:rPr>
            </w:pPr>
            <w:r>
              <w:rPr>
                <w:rFonts w:ascii="Times New Roman" w:cs="Times New Roman" w:eastAsia="Times New Roman" w:hAnsi="Times New Roman"/>
                <w:sz w:val="15"/>
                <w:szCs w:val="15"/>
                <w:color w:val="auto"/>
              </w:rPr>
              <w:t>(State or other jurisdiction of</w:t>
            </w:r>
          </w:p>
        </w:tc>
        <w:tc>
          <w:tcPr>
            <w:tcW w:w="2900" w:type="dxa"/>
            <w:vAlign w:val="bottom"/>
          </w:tcPr>
          <w:p>
            <w:pPr>
              <w:jc w:val="center"/>
              <w:ind w:left="1445"/>
              <w:spacing w:after="0"/>
              <w:rPr>
                <w:sz w:val="20"/>
                <w:szCs w:val="20"/>
                <w:color w:val="auto"/>
              </w:rPr>
            </w:pPr>
            <w:r>
              <w:rPr>
                <w:rFonts w:ascii="Times New Roman" w:cs="Times New Roman" w:eastAsia="Times New Roman" w:hAnsi="Times New Roman"/>
                <w:sz w:val="15"/>
                <w:szCs w:val="15"/>
                <w:color w:val="auto"/>
                <w:w w:val="99"/>
              </w:rPr>
              <w:t>(I.R.S. Employer</w:t>
            </w:r>
          </w:p>
        </w:tc>
      </w:tr>
      <w:tr>
        <w:trPr>
          <w:trHeight w:val="196"/>
        </w:trPr>
        <w:tc>
          <w:tcPr>
            <w:tcW w:w="3300" w:type="dxa"/>
            <w:vAlign w:val="bottom"/>
          </w:tcPr>
          <w:p>
            <w:pPr>
              <w:jc w:val="center"/>
              <w:ind w:right="1425"/>
              <w:spacing w:after="0"/>
              <w:rPr>
                <w:sz w:val="20"/>
                <w:szCs w:val="20"/>
                <w:color w:val="auto"/>
              </w:rPr>
            </w:pPr>
            <w:r>
              <w:rPr>
                <w:rFonts w:ascii="Times New Roman" w:cs="Times New Roman" w:eastAsia="Times New Roman" w:hAnsi="Times New Roman"/>
                <w:sz w:val="15"/>
                <w:szCs w:val="15"/>
                <w:color w:val="auto"/>
                <w:w w:val="99"/>
              </w:rPr>
              <w:t>incorporation or organization)</w:t>
            </w:r>
          </w:p>
        </w:tc>
        <w:tc>
          <w:tcPr>
            <w:tcW w:w="2900" w:type="dxa"/>
            <w:vAlign w:val="bottom"/>
          </w:tcPr>
          <w:p>
            <w:pPr>
              <w:jc w:val="center"/>
              <w:ind w:left="1445"/>
              <w:spacing w:after="0"/>
              <w:rPr>
                <w:sz w:val="20"/>
                <w:szCs w:val="20"/>
                <w:color w:val="auto"/>
              </w:rPr>
            </w:pPr>
            <w:r>
              <w:rPr>
                <w:rFonts w:ascii="Times New Roman" w:cs="Times New Roman" w:eastAsia="Times New Roman" w:hAnsi="Times New Roman"/>
                <w:sz w:val="15"/>
                <w:szCs w:val="15"/>
                <w:color w:val="auto"/>
                <w:w w:val="99"/>
              </w:rPr>
              <w:t>Identification Number)</w:t>
            </w:r>
          </w:p>
        </w:tc>
      </w:tr>
    </w:tbl>
    <w:p>
      <w:pPr>
        <w:spacing w:after="0" w:line="8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GH Research PLC</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Joshua Dawson House</w:t>
      </w:r>
    </w:p>
    <w:p>
      <w:pPr>
        <w:spacing w:after="0" w:line="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Dawson Street</w:t>
      </w:r>
    </w:p>
    <w:p>
      <w:pPr>
        <w:spacing w:after="0" w:line="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Dublin 2</w:t>
      </w:r>
    </w:p>
    <w:p>
      <w:pPr>
        <w:spacing w:after="0" w:line="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D02 RY95</w:t>
      </w:r>
    </w:p>
    <w:p>
      <w:pPr>
        <w:spacing w:after="0" w:line="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Ireland</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Tel: + 353 1 437 8334</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107950</wp:posOffset>
            </wp:positionV>
            <wp:extent cx="1019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spacing w:after="0" w:line="22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Cogency Global Inc.</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122 East 42nd Street, 18th Floor</w:t>
      </w:r>
    </w:p>
    <w:p>
      <w:pPr>
        <w:spacing w:after="0" w:line="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New York, NY 10168</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Tel: (800) 221-0102</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76200</wp:posOffset>
            </wp:positionV>
            <wp:extent cx="1019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r>
        <w:rPr>
          <w:rFonts w:ascii="Times New Roman" w:cs="Times New Roman" w:eastAsia="Times New Roman" w:hAnsi="Times New Roman"/>
          <w:sz w:val="17"/>
          <w:szCs w:val="17"/>
          <w:color w:val="auto"/>
        </w:rPr>
        <w:t>:</w:t>
      </w:r>
    </w:p>
    <w:p>
      <w:pPr>
        <w:spacing w:after="0" w:line="172" w:lineRule="exact"/>
        <w:rPr>
          <w:sz w:val="24"/>
          <w:szCs w:val="24"/>
          <w:color w:val="auto"/>
        </w:rPr>
      </w:pPr>
    </w:p>
    <w:tbl>
      <w:tblPr>
        <w:tblLayout w:type="fixed"/>
        <w:tblInd w:w="1280" w:type="dxa"/>
        <w:tblCellMar>
          <w:top w:w="0" w:type="dxa"/>
          <w:left w:w="0" w:type="dxa"/>
          <w:bottom w:w="0" w:type="dxa"/>
          <w:right w:w="0" w:type="dxa"/>
        </w:tblCellMar>
      </w:tblPr>
      <w:tr>
        <w:trPr>
          <w:trHeight w:val="188"/>
        </w:trPr>
        <w:tc>
          <w:tcPr>
            <w:tcW w:w="3340" w:type="dxa"/>
            <w:vAlign w:val="bottom"/>
          </w:tcPr>
          <w:p>
            <w:pPr>
              <w:jc w:val="center"/>
              <w:ind w:right="1425"/>
              <w:spacing w:after="0"/>
              <w:rPr>
                <w:sz w:val="20"/>
                <w:szCs w:val="20"/>
                <w:color w:val="auto"/>
              </w:rPr>
            </w:pPr>
            <w:r>
              <w:rPr>
                <w:rFonts w:ascii="Times New Roman" w:cs="Times New Roman" w:eastAsia="Times New Roman" w:hAnsi="Times New Roman"/>
                <w:sz w:val="15"/>
                <w:szCs w:val="15"/>
                <w:b w:val="1"/>
                <w:bCs w:val="1"/>
                <w:color w:val="auto"/>
              </w:rPr>
              <w:t>Deanna L. Kirkpatrick</w:t>
            </w:r>
          </w:p>
        </w:tc>
        <w:tc>
          <w:tcPr>
            <w:tcW w:w="2880" w:type="dxa"/>
            <w:vAlign w:val="bottom"/>
          </w:tcPr>
          <w:p>
            <w:pPr>
              <w:spacing w:after="0"/>
              <w:rPr>
                <w:sz w:val="16"/>
                <w:szCs w:val="16"/>
                <w:color w:val="auto"/>
              </w:rPr>
            </w:pPr>
          </w:p>
        </w:tc>
      </w:tr>
      <w:tr>
        <w:trPr>
          <w:trHeight w:val="188"/>
        </w:trPr>
        <w:tc>
          <w:tcPr>
            <w:tcW w:w="3340" w:type="dxa"/>
            <w:vAlign w:val="bottom"/>
          </w:tcPr>
          <w:p>
            <w:pPr>
              <w:jc w:val="center"/>
              <w:ind w:right="1425"/>
              <w:spacing w:after="0"/>
              <w:rPr>
                <w:sz w:val="20"/>
                <w:szCs w:val="20"/>
                <w:color w:val="auto"/>
              </w:rPr>
            </w:pPr>
            <w:r>
              <w:rPr>
                <w:rFonts w:ascii="Times New Roman" w:cs="Times New Roman" w:eastAsia="Times New Roman" w:hAnsi="Times New Roman"/>
                <w:sz w:val="15"/>
                <w:szCs w:val="15"/>
                <w:b w:val="1"/>
                <w:bCs w:val="1"/>
                <w:color w:val="auto"/>
                <w:w w:val="99"/>
              </w:rPr>
              <w:t>Yasin Keshvargar</w:t>
            </w:r>
          </w:p>
        </w:tc>
        <w:tc>
          <w:tcPr>
            <w:tcW w:w="2880" w:type="dxa"/>
            <w:vAlign w:val="bottom"/>
          </w:tcPr>
          <w:p>
            <w:pPr>
              <w:jc w:val="center"/>
              <w:ind w:left="1425"/>
              <w:spacing w:after="0"/>
              <w:rPr>
                <w:sz w:val="20"/>
                <w:szCs w:val="20"/>
                <w:color w:val="auto"/>
              </w:rPr>
            </w:pPr>
            <w:r>
              <w:rPr>
                <w:rFonts w:ascii="Times New Roman" w:cs="Times New Roman" w:eastAsia="Times New Roman" w:hAnsi="Times New Roman"/>
                <w:sz w:val="15"/>
                <w:szCs w:val="15"/>
                <w:b w:val="1"/>
                <w:bCs w:val="1"/>
                <w:color w:val="auto"/>
              </w:rPr>
              <w:t>Alan Casey</w:t>
            </w:r>
          </w:p>
        </w:tc>
      </w:tr>
      <w:tr>
        <w:trPr>
          <w:trHeight w:val="188"/>
        </w:trPr>
        <w:tc>
          <w:tcPr>
            <w:tcW w:w="3340" w:type="dxa"/>
            <w:vAlign w:val="bottom"/>
          </w:tcPr>
          <w:p>
            <w:pPr>
              <w:jc w:val="center"/>
              <w:ind w:right="1445"/>
              <w:spacing w:after="0"/>
              <w:rPr>
                <w:sz w:val="20"/>
                <w:szCs w:val="20"/>
                <w:color w:val="auto"/>
              </w:rPr>
            </w:pPr>
            <w:r>
              <w:rPr>
                <w:rFonts w:ascii="Times New Roman" w:cs="Times New Roman" w:eastAsia="Times New Roman" w:hAnsi="Times New Roman"/>
                <w:sz w:val="15"/>
                <w:szCs w:val="15"/>
                <w:b w:val="1"/>
                <w:bCs w:val="1"/>
                <w:color w:val="auto"/>
              </w:rPr>
              <w:t>Steven Glendon</w:t>
            </w:r>
          </w:p>
        </w:tc>
        <w:tc>
          <w:tcPr>
            <w:tcW w:w="2880" w:type="dxa"/>
            <w:vAlign w:val="bottom"/>
          </w:tcPr>
          <w:p>
            <w:pPr>
              <w:jc w:val="center"/>
              <w:ind w:left="1425"/>
              <w:spacing w:after="0"/>
              <w:rPr>
                <w:sz w:val="20"/>
                <w:szCs w:val="20"/>
                <w:color w:val="auto"/>
              </w:rPr>
            </w:pPr>
            <w:r>
              <w:rPr>
                <w:rFonts w:ascii="Times New Roman" w:cs="Times New Roman" w:eastAsia="Times New Roman" w:hAnsi="Times New Roman"/>
                <w:sz w:val="15"/>
                <w:szCs w:val="15"/>
                <w:b w:val="1"/>
                <w:bCs w:val="1"/>
                <w:color w:val="auto"/>
              </w:rPr>
              <w:t>A&amp;L Goodbody LLP</w:t>
            </w:r>
          </w:p>
        </w:tc>
      </w:tr>
      <w:tr>
        <w:trPr>
          <w:trHeight w:val="188"/>
        </w:trPr>
        <w:tc>
          <w:tcPr>
            <w:tcW w:w="3340" w:type="dxa"/>
            <w:vAlign w:val="bottom"/>
          </w:tcPr>
          <w:p>
            <w:pPr>
              <w:jc w:val="center"/>
              <w:ind w:right="1425"/>
              <w:spacing w:after="0"/>
              <w:rPr>
                <w:sz w:val="20"/>
                <w:szCs w:val="20"/>
                <w:color w:val="auto"/>
              </w:rPr>
            </w:pPr>
            <w:r>
              <w:rPr>
                <w:rFonts w:ascii="Times New Roman" w:cs="Times New Roman" w:eastAsia="Times New Roman" w:hAnsi="Times New Roman"/>
                <w:sz w:val="15"/>
                <w:szCs w:val="15"/>
                <w:b w:val="1"/>
                <w:bCs w:val="1"/>
                <w:color w:val="auto"/>
                <w:w w:val="99"/>
              </w:rPr>
              <w:t>Davis Polk &amp; Wardwell LLP</w:t>
            </w:r>
          </w:p>
        </w:tc>
        <w:tc>
          <w:tcPr>
            <w:tcW w:w="2880" w:type="dxa"/>
            <w:vAlign w:val="bottom"/>
          </w:tcPr>
          <w:p>
            <w:pPr>
              <w:jc w:val="center"/>
              <w:ind w:left="1425"/>
              <w:spacing w:after="0"/>
              <w:rPr>
                <w:sz w:val="20"/>
                <w:szCs w:val="20"/>
                <w:color w:val="auto"/>
              </w:rPr>
            </w:pPr>
            <w:r>
              <w:rPr>
                <w:rFonts w:ascii="Times New Roman" w:cs="Times New Roman" w:eastAsia="Times New Roman" w:hAnsi="Times New Roman"/>
                <w:sz w:val="15"/>
                <w:szCs w:val="15"/>
                <w:b w:val="1"/>
                <w:bCs w:val="1"/>
                <w:color w:val="auto"/>
                <w:w w:val="99"/>
              </w:rPr>
              <w:t>25 North Wall Quay,</w:t>
            </w:r>
          </w:p>
        </w:tc>
      </w:tr>
      <w:tr>
        <w:trPr>
          <w:trHeight w:val="188"/>
        </w:trPr>
        <w:tc>
          <w:tcPr>
            <w:tcW w:w="3340" w:type="dxa"/>
            <w:vAlign w:val="bottom"/>
          </w:tcPr>
          <w:p>
            <w:pPr>
              <w:jc w:val="center"/>
              <w:ind w:right="1425"/>
              <w:spacing w:after="0"/>
              <w:rPr>
                <w:sz w:val="20"/>
                <w:szCs w:val="20"/>
                <w:color w:val="auto"/>
              </w:rPr>
            </w:pPr>
            <w:r>
              <w:rPr>
                <w:rFonts w:ascii="Times New Roman" w:cs="Times New Roman" w:eastAsia="Times New Roman" w:hAnsi="Times New Roman"/>
                <w:sz w:val="15"/>
                <w:szCs w:val="15"/>
                <w:b w:val="1"/>
                <w:bCs w:val="1"/>
                <w:color w:val="auto"/>
              </w:rPr>
              <w:t>450 Lexington Avenue</w:t>
            </w:r>
          </w:p>
        </w:tc>
        <w:tc>
          <w:tcPr>
            <w:tcW w:w="2880" w:type="dxa"/>
            <w:vAlign w:val="bottom"/>
          </w:tcPr>
          <w:p>
            <w:pPr>
              <w:jc w:val="center"/>
              <w:ind w:left="1425"/>
              <w:spacing w:after="0"/>
              <w:rPr>
                <w:sz w:val="20"/>
                <w:szCs w:val="20"/>
                <w:color w:val="auto"/>
              </w:rPr>
            </w:pPr>
            <w:r>
              <w:rPr>
                <w:rFonts w:ascii="Times New Roman" w:cs="Times New Roman" w:eastAsia="Times New Roman" w:hAnsi="Times New Roman"/>
                <w:sz w:val="15"/>
                <w:szCs w:val="15"/>
                <w:b w:val="1"/>
                <w:bCs w:val="1"/>
                <w:color w:val="auto"/>
                <w:w w:val="99"/>
              </w:rPr>
              <w:t>Dublin 1, D01 H104</w:t>
            </w:r>
          </w:p>
        </w:tc>
      </w:tr>
      <w:tr>
        <w:trPr>
          <w:trHeight w:val="188"/>
        </w:trPr>
        <w:tc>
          <w:tcPr>
            <w:tcW w:w="3340" w:type="dxa"/>
            <w:vAlign w:val="bottom"/>
          </w:tcPr>
          <w:p>
            <w:pPr>
              <w:jc w:val="center"/>
              <w:ind w:right="1445"/>
              <w:spacing w:after="0"/>
              <w:rPr>
                <w:sz w:val="20"/>
                <w:szCs w:val="20"/>
                <w:color w:val="auto"/>
              </w:rPr>
            </w:pPr>
            <w:r>
              <w:rPr>
                <w:rFonts w:ascii="Times New Roman" w:cs="Times New Roman" w:eastAsia="Times New Roman" w:hAnsi="Times New Roman"/>
                <w:sz w:val="15"/>
                <w:szCs w:val="15"/>
                <w:b w:val="1"/>
                <w:bCs w:val="1"/>
                <w:color w:val="auto"/>
                <w:w w:val="98"/>
              </w:rPr>
              <w:t>New York, NY 10017</w:t>
            </w:r>
          </w:p>
        </w:tc>
        <w:tc>
          <w:tcPr>
            <w:tcW w:w="2880" w:type="dxa"/>
            <w:vAlign w:val="bottom"/>
          </w:tcPr>
          <w:p>
            <w:pPr>
              <w:jc w:val="center"/>
              <w:ind w:left="1425"/>
              <w:spacing w:after="0"/>
              <w:rPr>
                <w:sz w:val="20"/>
                <w:szCs w:val="20"/>
                <w:color w:val="auto"/>
              </w:rPr>
            </w:pPr>
            <w:r>
              <w:rPr>
                <w:rFonts w:ascii="Times New Roman" w:cs="Times New Roman" w:eastAsia="Times New Roman" w:hAnsi="Times New Roman"/>
                <w:sz w:val="15"/>
                <w:szCs w:val="15"/>
                <w:b w:val="1"/>
                <w:bCs w:val="1"/>
                <w:color w:val="auto"/>
                <w:w w:val="96"/>
              </w:rPr>
              <w:t>Ireland</w:t>
            </w:r>
          </w:p>
        </w:tc>
      </w:tr>
      <w:tr>
        <w:trPr>
          <w:trHeight w:val="200"/>
        </w:trPr>
        <w:tc>
          <w:tcPr>
            <w:tcW w:w="3340" w:type="dxa"/>
            <w:vAlign w:val="bottom"/>
          </w:tcPr>
          <w:p>
            <w:pPr>
              <w:jc w:val="center"/>
              <w:ind w:right="1445"/>
              <w:spacing w:after="0"/>
              <w:rPr>
                <w:sz w:val="20"/>
                <w:szCs w:val="20"/>
                <w:color w:val="auto"/>
              </w:rPr>
            </w:pPr>
            <w:r>
              <w:rPr>
                <w:rFonts w:ascii="Times New Roman" w:cs="Times New Roman" w:eastAsia="Times New Roman" w:hAnsi="Times New Roman"/>
                <w:sz w:val="15"/>
                <w:szCs w:val="15"/>
                <w:b w:val="1"/>
                <w:bCs w:val="1"/>
                <w:color w:val="auto"/>
                <w:w w:val="98"/>
              </w:rPr>
              <w:t>Tel: (212) 450-4000</w:t>
            </w:r>
          </w:p>
        </w:tc>
        <w:tc>
          <w:tcPr>
            <w:tcW w:w="2880" w:type="dxa"/>
            <w:vAlign w:val="bottom"/>
          </w:tcPr>
          <w:p>
            <w:pPr>
              <w:jc w:val="center"/>
              <w:ind w:left="1445"/>
              <w:spacing w:after="0"/>
              <w:rPr>
                <w:sz w:val="20"/>
                <w:szCs w:val="20"/>
                <w:color w:val="auto"/>
              </w:rPr>
            </w:pPr>
            <w:r>
              <w:rPr>
                <w:rFonts w:ascii="Times New Roman" w:cs="Times New Roman" w:eastAsia="Times New Roman" w:hAnsi="Times New Roman"/>
                <w:sz w:val="15"/>
                <w:szCs w:val="15"/>
                <w:b w:val="1"/>
                <w:bCs w:val="1"/>
                <w:color w:val="auto"/>
                <w:w w:val="99"/>
              </w:rPr>
              <w:t>Tel: + 353 1 649-2000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130175</wp:posOffset>
            </wp:positionV>
            <wp:extent cx="1019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spacing w:after="0" w:line="26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From time to time after the effectiveness of this registration statement.</w:t>
      </w:r>
    </w:p>
    <w:p>
      <w:pPr>
        <w:spacing w:after="0" w:line="70" w:lineRule="exact"/>
        <w:rPr>
          <w:sz w:val="24"/>
          <w:szCs w:val="24"/>
          <w:color w:val="auto"/>
        </w:rPr>
      </w:pPr>
    </w:p>
    <w:p>
      <w:pPr>
        <w:jc w:val="both"/>
        <w:ind w:firstLine="334"/>
        <w:spacing w:after="0" w:line="203" w:lineRule="exact"/>
        <w:rPr>
          <w:sz w:val="20"/>
          <w:szCs w:val="20"/>
          <w:color w:val="auto"/>
        </w:rPr>
      </w:pPr>
      <w:r>
        <w:rPr>
          <w:rFonts w:ascii="Times New Roman" w:cs="Times New Roman" w:eastAsia="Times New Roman" w:hAnsi="Times New Roman"/>
          <w:sz w:val="15"/>
          <w:szCs w:val="15"/>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21" w:lineRule="exact"/>
        <w:rPr>
          <w:sz w:val="24"/>
          <w:szCs w:val="24"/>
          <w:color w:val="auto"/>
        </w:rPr>
      </w:pPr>
    </w:p>
    <w:p>
      <w:pPr>
        <w:jc w:val="both"/>
        <w:ind w:firstLine="334"/>
        <w:spacing w:after="0" w:line="203"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21" w:lineRule="exact"/>
        <w:rPr>
          <w:sz w:val="24"/>
          <w:szCs w:val="24"/>
          <w:color w:val="auto"/>
        </w:rPr>
      </w:pPr>
    </w:p>
    <w:p>
      <w:pPr>
        <w:jc w:val="both"/>
        <w:ind w:firstLine="334"/>
        <w:spacing w:after="0" w:line="203"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1" w:lineRule="exact"/>
        <w:rPr>
          <w:sz w:val="24"/>
          <w:szCs w:val="24"/>
          <w:color w:val="auto"/>
        </w:rPr>
      </w:pPr>
    </w:p>
    <w:p>
      <w:pPr>
        <w:jc w:val="both"/>
        <w:ind w:firstLine="334"/>
        <w:spacing w:after="0" w:line="203"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1" w:lineRule="exact"/>
        <w:rPr>
          <w:sz w:val="24"/>
          <w:szCs w:val="24"/>
          <w:color w:val="auto"/>
        </w:rPr>
      </w:pPr>
    </w:p>
    <w:p>
      <w:pPr>
        <w:jc w:val="both"/>
        <w:ind w:firstLine="334"/>
        <w:spacing w:after="0" w:line="203"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1.C.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21" w:lineRule="exact"/>
        <w:rPr>
          <w:sz w:val="24"/>
          <w:szCs w:val="24"/>
          <w:color w:val="auto"/>
        </w:rPr>
      </w:pPr>
    </w:p>
    <w:p>
      <w:pPr>
        <w:jc w:val="both"/>
        <w:ind w:right="20" w:firstLine="334"/>
        <w:spacing w:after="0" w:line="203"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21" w:lineRule="exact"/>
        <w:rPr>
          <w:sz w:val="24"/>
          <w:szCs w:val="24"/>
          <w:color w:val="auto"/>
        </w:rPr>
      </w:pPr>
    </w:p>
    <w:p>
      <w:pPr>
        <w:jc w:val="both"/>
        <w:ind w:right="20" w:firstLine="334"/>
        <w:spacing w:after="0" w:line="20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5"/>
          <w:szCs w:val="15"/>
          <w:color w:val="auto"/>
        </w:rPr>
        <w:t>☒</w:t>
      </w:r>
    </w:p>
    <w:p>
      <w:pPr>
        <w:spacing w:after="0" w:line="21" w:lineRule="exact"/>
        <w:rPr>
          <w:sz w:val="24"/>
          <w:szCs w:val="24"/>
          <w:color w:val="auto"/>
        </w:rPr>
      </w:pPr>
    </w:p>
    <w:p>
      <w:pPr>
        <w:jc w:val="both"/>
        <w:ind w:firstLine="334"/>
        <w:spacing w:after="0" w:line="198" w:lineRule="exact"/>
        <w:rPr>
          <w:sz w:val="20"/>
          <w:szCs w:val="20"/>
          <w:color w:val="auto"/>
        </w:rPr>
      </w:pPr>
      <w:r>
        <w:rPr>
          <w:rFonts w:ascii="Times New Roman" w:cs="Times New Roman" w:eastAsia="Times New Roman" w:hAnsi="Times New Roman"/>
          <w:sz w:val="15"/>
          <w:szCs w:val="15"/>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1" w:lineRule="exact"/>
        <w:rPr>
          <w:sz w:val="24"/>
          <w:szCs w:val="24"/>
          <w:color w:val="auto"/>
        </w:rPr>
      </w:pPr>
    </w:p>
    <w:p>
      <w:pPr>
        <w:ind w:firstLine="324"/>
        <w:spacing w:after="0" w:line="294" w:lineRule="auto"/>
        <w:tabs>
          <w:tab w:leader="none" w:pos="484"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“new or revised financial accounting standard” refers to any update issued by the Financial Accounting Standards Board to its Accounting Standards Codification after April 5, 2012.</w:t>
      </w:r>
    </w:p>
    <w:p>
      <w:pPr>
        <w:spacing w:after="0" w:line="4" w:lineRule="exact"/>
        <w:rPr>
          <w:sz w:val="24"/>
          <w:szCs w:val="24"/>
          <w:color w:val="auto"/>
        </w:rPr>
      </w:pPr>
    </w:p>
    <w:p>
      <w:pPr>
        <w:jc w:val="both"/>
        <w:ind w:firstLine="334"/>
        <w:spacing w:after="0" w:line="272" w:lineRule="auto"/>
        <w:rPr>
          <w:sz w:val="20"/>
          <w:szCs w:val="20"/>
          <w:color w:val="auto"/>
        </w:rPr>
      </w:pPr>
      <w:r>
        <w:rPr>
          <w:rFonts w:ascii="Times New Roman" w:cs="Times New Roman" w:eastAsia="Times New Roman" w:hAnsi="Times New Roman"/>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5732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327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172085</wp:posOffset>
            </wp:positionV>
            <wp:extent cx="573278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32780" cy="15875"/>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291465</wp:posOffset>
            </wp:positionV>
            <wp:extent cx="649732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20"/>
          </w:cols>
          <w:pgMar w:left="1440" w:top="216" w:right="1439" w:bottom="1440" w:gutter="0" w:footer="0" w:header="0"/>
        </w:sectPr>
      </w:pPr>
    </w:p>
    <w:bookmarkStart w:id="1" w:name="page2"/>
    <w:bookmarkEnd w:id="1"/>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700" w:right="799"/>
        <w:spacing w:after="0"/>
        <w:rPr>
          <w:sz w:val="20"/>
          <w:szCs w:val="20"/>
          <w:color w:val="auto"/>
        </w:rPr>
      </w:pPr>
      <w:r>
        <w:rPr>
          <w:rFonts w:ascii="Arial" w:cs="Arial" w:eastAsia="Arial" w:hAnsi="Arial"/>
          <w:sz w:val="17"/>
          <w:szCs w:val="17"/>
          <w:i w:val="1"/>
          <w:iCs w:val="1"/>
          <w:color w:val="FC0014"/>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offers to buy these securities in any jurisdiction where the offer or sale is not permitted.</w:t>
      </w:r>
    </w:p>
    <w:p>
      <w:pPr>
        <w:spacing w:after="0" w:line="266" w:lineRule="exact"/>
        <w:rPr>
          <w:sz w:val="20"/>
          <w:szCs w:val="20"/>
          <w:color w:val="auto"/>
        </w:rPr>
      </w:pPr>
    </w:p>
    <w:p>
      <w:pPr>
        <w:ind w:left="700"/>
        <w:spacing w:after="0"/>
        <w:tabs>
          <w:tab w:leader="none" w:pos="2480" w:val="left"/>
        </w:tabs>
        <w:rPr>
          <w:sz w:val="20"/>
          <w:szCs w:val="20"/>
          <w:color w:val="auto"/>
        </w:rPr>
      </w:pPr>
      <w:r>
        <w:rPr>
          <w:rFonts w:ascii="Times New Roman" w:cs="Times New Roman" w:eastAsia="Times New Roman" w:hAnsi="Times New Roman"/>
          <w:sz w:val="17"/>
          <w:szCs w:val="17"/>
          <w:b w:val="1"/>
          <w:bCs w:val="1"/>
          <w:color w:val="auto"/>
        </w:rPr>
        <w:t>PROSPECTUS</w:t>
      </w:r>
      <w:r>
        <w:rPr>
          <w:sz w:val="20"/>
          <w:szCs w:val="20"/>
          <w:color w:val="auto"/>
        </w:rPr>
        <w:tab/>
      </w:r>
      <w:r>
        <w:rPr>
          <w:rFonts w:ascii="Times New Roman" w:cs="Times New Roman" w:eastAsia="Times New Roman" w:hAnsi="Times New Roman"/>
          <w:sz w:val="17"/>
          <w:szCs w:val="17"/>
          <w:b w:val="1"/>
          <w:bCs w:val="1"/>
          <w:color w:val="FC0014"/>
        </w:rPr>
        <w:t>SUBJECT TO COMPLETION, DATED MAY 14, 2026</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$400,000,000</w:t>
      </w: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Ordinary Shares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Units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1271270</wp:posOffset>
            </wp:positionH>
            <wp:positionV relativeFrom="paragraph">
              <wp:posOffset>154940</wp:posOffset>
            </wp:positionV>
            <wp:extent cx="3185160" cy="1010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85160" cy="101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 xml:space="preserve">  </w:t>
      </w:r>
    </w:p>
    <w:p>
      <w:pPr>
        <w:spacing w:after="0" w:line="105" w:lineRule="exact"/>
        <w:rPr>
          <w:sz w:val="20"/>
          <w:szCs w:val="20"/>
          <w:color w:val="auto"/>
        </w:rPr>
      </w:pPr>
    </w:p>
    <w:p>
      <w:pPr>
        <w:jc w:val="both"/>
        <w:ind w:left="700" w:right="699" w:firstLine="334"/>
        <w:spacing w:after="0" w:line="249" w:lineRule="auto"/>
        <w:rPr>
          <w:sz w:val="20"/>
          <w:szCs w:val="20"/>
          <w:color w:val="auto"/>
        </w:rPr>
      </w:pPr>
      <w:r>
        <w:rPr>
          <w:rFonts w:ascii="Times New Roman" w:cs="Times New Roman" w:eastAsia="Times New Roman" w:hAnsi="Times New Roman"/>
          <w:sz w:val="17"/>
          <w:szCs w:val="17"/>
          <w:color w:val="auto"/>
        </w:rPr>
        <w:t>We may offer and sell from time to time, in one or more offerings, up to $400,000,000 of any combination of the following securities: ordinary shares, debt securities, warrants, units or subscription rights, which we collectively refer to as the “securities.”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81" w:lineRule="exact"/>
        <w:rPr>
          <w:sz w:val="20"/>
          <w:szCs w:val="20"/>
          <w:color w:val="auto"/>
        </w:rPr>
      </w:pPr>
    </w:p>
    <w:p>
      <w:pPr>
        <w:jc w:val="both"/>
        <w:ind w:left="700" w:right="699" w:firstLine="334"/>
        <w:spacing w:after="0" w:line="251" w:lineRule="auto"/>
        <w:rPr>
          <w:sz w:val="20"/>
          <w:szCs w:val="20"/>
          <w:color w:val="auto"/>
        </w:rPr>
      </w:pPr>
      <w:r>
        <w:rPr>
          <w:rFonts w:ascii="Times New Roman" w:cs="Times New Roman" w:eastAsia="Times New Roman" w:hAnsi="Times New Roman"/>
          <w:sz w:val="17"/>
          <w:szCs w:val="17"/>
          <w:color w:val="auto"/>
        </w:rPr>
        <w:t xml:space="preserve">The securities covered by this prospectus may be offered through one or more underwriters, dealers and agents, or directly to purchasers. The names of any underwriters, dealers or agents, if any, the applicable commissions or discounts payable to them and the specific terms of the plan of distribution will be included in a supplement to this prospectus. For general information about the distribution of securities offered, please see “Plan of Distribution” beginning on page </w:t>
      </w:r>
      <w:r>
        <w:rPr>
          <w:rFonts w:ascii="Times New Roman" w:cs="Times New Roman" w:eastAsia="Times New Roman" w:hAnsi="Times New Roman"/>
          <w:sz w:val="17"/>
          <w:szCs w:val="17"/>
          <w:u w:val="single" w:color="auto"/>
          <w:color w:val="0000EE"/>
        </w:rPr>
        <w:t>36</w:t>
      </w:r>
      <w:r>
        <w:rPr>
          <w:rFonts w:ascii="Times New Roman" w:cs="Times New Roman" w:eastAsia="Times New Roman" w:hAnsi="Times New Roman"/>
          <w:sz w:val="17"/>
          <w:szCs w:val="17"/>
          <w:color w:val="auto"/>
        </w:rPr>
        <w:t>. Our ordinary shares are listed on the Nasdaq Global Market, or Nasdaq, under the symbol “GHRS”.</w:t>
      </w:r>
    </w:p>
    <w:p>
      <w:pPr>
        <w:spacing w:after="0" w:line="1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Our ordinary shares are listed on the Nasdaq Global Market, or Nasdaq, under the symbol “GHRS”.</w:t>
      </w:r>
    </w:p>
    <w:p>
      <w:pPr>
        <w:spacing w:after="0" w:line="105" w:lineRule="exact"/>
        <w:rPr>
          <w:sz w:val="20"/>
          <w:szCs w:val="20"/>
          <w:color w:val="auto"/>
        </w:rPr>
      </w:pPr>
    </w:p>
    <w:p>
      <w:pPr>
        <w:jc w:val="both"/>
        <w:ind w:left="700" w:right="699" w:firstLine="334"/>
        <w:spacing w:after="0" w:line="259" w:lineRule="auto"/>
        <w:rPr>
          <w:sz w:val="20"/>
          <w:szCs w:val="20"/>
          <w:color w:val="auto"/>
        </w:rPr>
      </w:pPr>
      <w:r>
        <w:rPr>
          <w:rFonts w:ascii="Times New Roman" w:cs="Times New Roman" w:eastAsia="Times New Roman" w:hAnsi="Times New Roman"/>
          <w:sz w:val="17"/>
          <w:szCs w:val="17"/>
          <w:color w:val="auto"/>
        </w:rPr>
        <w:t>We are an “emerging growth company” under the applicable Securities and Exchange Commission, or SEC, rules and have elected to comply with certain reduced public company reporting requirements for this prospectus and future filings.</w:t>
      </w:r>
    </w:p>
    <w:p>
      <w:pPr>
        <w:spacing w:after="0" w:line="65" w:lineRule="exact"/>
        <w:rPr>
          <w:sz w:val="20"/>
          <w:szCs w:val="20"/>
          <w:color w:val="auto"/>
        </w:rPr>
      </w:pPr>
    </w:p>
    <w:p>
      <w:pPr>
        <w:jc w:val="both"/>
        <w:ind w:left="700" w:right="699" w:firstLine="334"/>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Our business and investment in our securities involve significant risks. These risks are described under the caption “Risk Factors” beginning on page </w:t>
      </w:r>
      <w:r>
        <w:rPr>
          <w:rFonts w:ascii="Times New Roman" w:cs="Times New Roman" w:eastAsia="Times New Roman" w:hAnsi="Times New Roman"/>
          <w:sz w:val="17"/>
          <w:szCs w:val="17"/>
          <w:b w:val="1"/>
          <w:bCs w:val="1"/>
          <w:u w:val="single" w:color="auto"/>
          <w:color w:val="0000EE"/>
        </w:rPr>
        <w:t>5</w:t>
      </w:r>
      <w:r>
        <w:rPr>
          <w:rFonts w:ascii="Times New Roman" w:cs="Times New Roman" w:eastAsia="Times New Roman" w:hAnsi="Times New Roman"/>
          <w:sz w:val="17"/>
          <w:szCs w:val="17"/>
          <w:b w:val="1"/>
          <w:bCs w:val="1"/>
          <w:color w:val="auto"/>
        </w:rPr>
        <w:t xml:space="preserve"> of this prospectus and, if applicable, any risk factors described in any applicable prospectus supplement and in our SEC filings that are incorporated by reference in this prospectus.</w:t>
      </w:r>
    </w:p>
    <w:p>
      <w:pPr>
        <w:spacing w:after="0" w:line="73" w:lineRule="exact"/>
        <w:rPr>
          <w:sz w:val="20"/>
          <w:szCs w:val="20"/>
          <w:color w:val="auto"/>
        </w:rPr>
      </w:pPr>
    </w:p>
    <w:p>
      <w:pPr>
        <w:jc w:val="both"/>
        <w:ind w:left="700" w:right="699" w:firstLine="334"/>
        <w:spacing w:after="0" w:line="259" w:lineRule="auto"/>
        <w:rPr>
          <w:sz w:val="20"/>
          <w:szCs w:val="20"/>
          <w:color w:val="auto"/>
        </w:rPr>
      </w:pPr>
      <w:r>
        <w:rPr>
          <w:rFonts w:ascii="Times New Roman" w:cs="Times New Roman" w:eastAsia="Times New Roman" w:hAnsi="Times New Roman"/>
          <w:sz w:val="17"/>
          <w:szCs w:val="17"/>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5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Prospectus dated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117475</wp:posOffset>
            </wp:positionV>
            <wp:extent cx="649732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type w:val="continuous"/>
        </w:sectPr>
      </w:pPr>
    </w:p>
    <w:bookmarkStart w:id="2" w:name="page3"/>
    <w:bookmarkEnd w:id="2"/>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77" w:lineRule="exact"/>
        <w:rPr>
          <w:sz w:val="20"/>
          <w:szCs w:val="20"/>
          <w:color w:val="auto"/>
        </w:rPr>
      </w:pPr>
    </w:p>
    <w:tbl>
      <w:tblPr>
        <w:tblLayout w:type="fixed"/>
        <w:tblInd w:w="60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60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w w:val="97"/>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0000EE"/>
            </w:tcBorders>
          </w:tcPr>
          <w:p>
            <w:pPr>
              <w:spacing w:after="0"/>
              <w:rPr>
                <w:sz w:val="18"/>
                <w:szCs w:val="18"/>
                <w:color w:val="auto"/>
              </w:rPr>
            </w:pPr>
          </w:p>
        </w:tc>
        <w:tc>
          <w:tcPr>
            <w:tcW w:w="1440" w:type="dxa"/>
            <w:vAlign w:val="bottom"/>
            <w:tcBorders>
              <w:bottom w:val="single" w:sz="8" w:color="0000EE"/>
            </w:tcBorders>
            <w:gridSpan w:val="10"/>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EE"/>
                <w:w w:val="95"/>
              </w:rPr>
              <w:t>About this Prospectus</w:t>
            </w:r>
          </w:p>
        </w:tc>
        <w:tc>
          <w:tcPr>
            <w:tcW w:w="5760" w:type="dxa"/>
            <w:vAlign w:val="bottom"/>
            <w:tcBorders>
              <w:bottom w:val="single" w:sz="8" w:color="CCEEFF"/>
            </w:tcBorders>
            <w:gridSpan w:val="10"/>
            <w:shd w:val="clear" w:color="auto" w:fill="CCEEFF"/>
          </w:tcPr>
          <w:p>
            <w:pPr>
              <w:spacing w:after="0"/>
              <w:rPr>
                <w:sz w:val="18"/>
                <w:szCs w:val="18"/>
                <w:color w:val="auto"/>
              </w:rPr>
            </w:pPr>
          </w:p>
        </w:tc>
        <w:tc>
          <w:tcPr>
            <w:tcW w:w="440" w:type="dxa"/>
            <w:vAlign w:val="bottom"/>
            <w:tcBorders>
              <w:bottom w:val="single" w:sz="8" w:color="CCEEFF"/>
            </w:tcBorders>
            <w:gridSpan w:val="3"/>
            <w:shd w:val="clear" w:color="auto" w:fill="CCEEFF"/>
          </w:tcPr>
          <w:p>
            <w:pPr>
              <w:spacing w:after="0"/>
              <w:rPr>
                <w:sz w:val="18"/>
                <w:szCs w:val="18"/>
                <w:color w:val="auto"/>
              </w:rPr>
            </w:pPr>
          </w:p>
        </w:tc>
        <w:tc>
          <w:tcPr>
            <w:tcW w:w="100" w:type="dxa"/>
            <w:vAlign w:val="bottom"/>
            <w:tcBorders>
              <w:bottom w:val="single" w:sz="8" w:color="0000EE"/>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0000EE"/>
                <w:w w:val="93"/>
              </w:rPr>
              <w:t>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gridSpan w:val="20"/>
          </w:tcPr>
          <w:p>
            <w:pPr>
              <w:spacing w:after="0" w:line="176" w:lineRule="exact"/>
              <w:rPr>
                <w:sz w:val="20"/>
                <w:szCs w:val="20"/>
                <w:color w:val="auto"/>
              </w:rPr>
            </w:pPr>
            <w:r>
              <w:rPr>
                <w:rFonts w:ascii="Times New Roman" w:cs="Times New Roman" w:eastAsia="Times New Roman" w:hAnsi="Times New Roman"/>
                <w:sz w:val="17"/>
                <w:szCs w:val="17"/>
                <w:color w:val="0000EE"/>
              </w:rPr>
              <w:t>Our Company</w:t>
            </w:r>
          </w:p>
        </w:tc>
        <w:tc>
          <w:tcPr>
            <w:tcW w:w="5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7"/>
                <w:szCs w:val="17"/>
                <w:color w:val="0000EE"/>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Borders>
              <w:bottom w:val="single" w:sz="8" w:color="0000EE"/>
            </w:tcBorders>
            <w:vMerge w:val="continue"/>
          </w:tcPr>
          <w:p>
            <w:pPr>
              <w:spacing w:after="0"/>
              <w:rPr>
                <w:sz w:val="17"/>
                <w:szCs w:val="17"/>
                <w:color w:val="auto"/>
              </w:rPr>
            </w:pPr>
          </w:p>
        </w:tc>
        <w:tc>
          <w:tcPr>
            <w:tcW w:w="8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3"/>
              </w:rPr>
              <w:t>Risk Factors</w:t>
            </w:r>
          </w:p>
        </w:tc>
        <w:tc>
          <w:tcPr>
            <w:tcW w:w="6380" w:type="dxa"/>
            <w:vAlign w:val="bottom"/>
            <w:tcBorders>
              <w:bottom w:val="single" w:sz="8" w:color="CCEEFF"/>
            </w:tcBorders>
            <w:gridSpan w:val="17"/>
            <w:shd w:val="clear" w:color="auto" w:fill="CCEEFF"/>
          </w:tcPr>
          <w:p>
            <w:pPr>
              <w:spacing w:after="0"/>
              <w:rPr>
                <w:sz w:val="17"/>
                <w:szCs w:val="17"/>
                <w:color w:val="auto"/>
              </w:rPr>
            </w:pPr>
          </w:p>
        </w:tc>
        <w:tc>
          <w:tcPr>
            <w:tcW w:w="44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w w:val="93"/>
              </w:rPr>
              <w:t>5</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gridSpan w:val="20"/>
          </w:tcPr>
          <w:p>
            <w:pPr>
              <w:spacing w:after="0" w:line="176" w:lineRule="exact"/>
              <w:rPr>
                <w:sz w:val="20"/>
                <w:szCs w:val="20"/>
                <w:color w:val="auto"/>
              </w:rPr>
            </w:pPr>
            <w:r>
              <w:rPr>
                <w:rFonts w:ascii="Times New Roman" w:cs="Times New Roman" w:eastAsia="Times New Roman" w:hAnsi="Times New Roman"/>
                <w:sz w:val="17"/>
                <w:szCs w:val="17"/>
                <w:color w:val="0000EE"/>
              </w:rPr>
              <w:t>Cautionary Statement Regarding Forward-Looking Statements</w:t>
            </w:r>
          </w:p>
        </w:tc>
        <w:tc>
          <w:tcPr>
            <w:tcW w:w="5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7"/>
                <w:szCs w:val="17"/>
                <w:color w:val="0000EE"/>
              </w:rPr>
              <w:t>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Borders>
              <w:bottom w:val="single" w:sz="8" w:color="0000EE"/>
            </w:tcBorders>
            <w:vMerge w:val="continue"/>
          </w:tcPr>
          <w:p>
            <w:pPr>
              <w:spacing w:after="0"/>
              <w:rPr>
                <w:sz w:val="17"/>
                <w:szCs w:val="17"/>
                <w:color w:val="auto"/>
              </w:rPr>
            </w:pPr>
          </w:p>
        </w:tc>
        <w:tc>
          <w:tcPr>
            <w:tcW w:w="10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4"/>
              </w:rPr>
              <w:t>Use of Proceeds</w:t>
            </w:r>
          </w:p>
        </w:tc>
        <w:tc>
          <w:tcPr>
            <w:tcW w:w="6140" w:type="dxa"/>
            <w:vAlign w:val="bottom"/>
            <w:tcBorders>
              <w:bottom w:val="single" w:sz="8" w:color="CCEEFF"/>
            </w:tcBorders>
            <w:gridSpan w:val="14"/>
            <w:shd w:val="clear" w:color="auto" w:fill="CCEEFF"/>
          </w:tcPr>
          <w:p>
            <w:pPr>
              <w:spacing w:after="0"/>
              <w:rPr>
                <w:sz w:val="17"/>
                <w:szCs w:val="17"/>
                <w:color w:val="auto"/>
              </w:rPr>
            </w:pPr>
          </w:p>
        </w:tc>
        <w:tc>
          <w:tcPr>
            <w:tcW w:w="44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w w:val="93"/>
              </w:rPr>
              <w:t>7</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gridSpan w:val="20"/>
          </w:tcPr>
          <w:p>
            <w:pPr>
              <w:spacing w:after="0" w:line="176" w:lineRule="exact"/>
              <w:rPr>
                <w:sz w:val="20"/>
                <w:szCs w:val="20"/>
                <w:color w:val="auto"/>
              </w:rPr>
            </w:pPr>
            <w:r>
              <w:rPr>
                <w:rFonts w:ascii="Times New Roman" w:cs="Times New Roman" w:eastAsia="Times New Roman" w:hAnsi="Times New Roman"/>
                <w:sz w:val="17"/>
                <w:szCs w:val="17"/>
                <w:color w:val="0000EE"/>
              </w:rPr>
              <w:t>Description of Share Capital and Constitution</w:t>
            </w:r>
          </w:p>
        </w:tc>
        <w:tc>
          <w:tcPr>
            <w:tcW w:w="5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7"/>
                <w:szCs w:val="17"/>
                <w:color w:val="0000EE"/>
              </w:rPr>
              <w:t>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Comparison of Irish Law and Delaware Law</w:t>
            </w:r>
          </w:p>
        </w:tc>
        <w:tc>
          <w:tcPr>
            <w:tcW w:w="5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18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0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60" w:type="dxa"/>
            <w:vAlign w:val="bottom"/>
            <w:gridSpan w:val="16"/>
          </w:tcPr>
          <w:p>
            <w:pPr>
              <w:spacing w:after="0" w:line="176" w:lineRule="exact"/>
              <w:rPr>
                <w:sz w:val="20"/>
                <w:szCs w:val="20"/>
                <w:color w:val="auto"/>
              </w:rPr>
            </w:pPr>
            <w:r>
              <w:rPr>
                <w:rFonts w:ascii="Times New Roman" w:cs="Times New Roman" w:eastAsia="Times New Roman" w:hAnsi="Times New Roman"/>
                <w:sz w:val="17"/>
                <w:szCs w:val="17"/>
                <w:color w:val="0000EE"/>
              </w:rPr>
              <w:t>Description of Debt Securities</w:t>
            </w:r>
          </w:p>
        </w:tc>
        <w:tc>
          <w:tcPr>
            <w:tcW w:w="4240" w:type="dxa"/>
            <w:vAlign w:val="bottom"/>
            <w:gridSpan w:val="4"/>
          </w:tcPr>
          <w:p>
            <w:pPr>
              <w:spacing w:after="0"/>
              <w:rPr>
                <w:sz w:val="15"/>
                <w:szCs w:val="15"/>
                <w:color w:val="auto"/>
              </w:rPr>
            </w:pPr>
          </w:p>
        </w:tc>
        <w:tc>
          <w:tcPr>
            <w:tcW w:w="5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7"/>
                <w:szCs w:val="17"/>
                <w:color w:val="0000EE"/>
              </w:rPr>
              <w:t>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8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4"/>
              </w:rPr>
              <w:t>Description of Warrants</w:t>
            </w:r>
          </w:p>
        </w:tc>
        <w:tc>
          <w:tcPr>
            <w:tcW w:w="5620" w:type="dxa"/>
            <w:vAlign w:val="bottom"/>
            <w:gridSpan w:val="9"/>
            <w:shd w:val="clear" w:color="auto" w:fill="CCEEFF"/>
          </w:tcPr>
          <w:p>
            <w:pPr>
              <w:spacing w:after="0"/>
              <w:rPr>
                <w:sz w:val="15"/>
                <w:szCs w:val="15"/>
                <w:color w:val="auto"/>
              </w:rPr>
            </w:pPr>
          </w:p>
        </w:tc>
        <w:tc>
          <w:tcPr>
            <w:tcW w:w="5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33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0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80" w:type="dxa"/>
            <w:vAlign w:val="bottom"/>
            <w:gridSpan w:val="11"/>
          </w:tcPr>
          <w:p>
            <w:pPr>
              <w:spacing w:after="0" w:line="176" w:lineRule="exact"/>
              <w:rPr>
                <w:sz w:val="20"/>
                <w:szCs w:val="20"/>
                <w:color w:val="auto"/>
              </w:rPr>
            </w:pPr>
            <w:r>
              <w:rPr>
                <w:rFonts w:ascii="Times New Roman" w:cs="Times New Roman" w:eastAsia="Times New Roman" w:hAnsi="Times New Roman"/>
                <w:sz w:val="17"/>
                <w:szCs w:val="17"/>
                <w:color w:val="0000EE"/>
              </w:rPr>
              <w:t>Description of Units</w:t>
            </w:r>
          </w:p>
        </w:tc>
        <w:tc>
          <w:tcPr>
            <w:tcW w:w="5620" w:type="dxa"/>
            <w:vAlign w:val="bottom"/>
            <w:gridSpan w:val="9"/>
          </w:tcPr>
          <w:p>
            <w:pPr>
              <w:spacing w:after="0"/>
              <w:rPr>
                <w:sz w:val="15"/>
                <w:szCs w:val="15"/>
                <w:color w:val="auto"/>
              </w:rPr>
            </w:pPr>
          </w:p>
        </w:tc>
        <w:tc>
          <w:tcPr>
            <w:tcW w:w="5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7"/>
                <w:szCs w:val="17"/>
                <w:color w:val="0000EE"/>
              </w:rPr>
              <w:t>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6"/>
              </w:rPr>
              <w:t>Description of Subscription Rights</w:t>
            </w:r>
          </w:p>
        </w:tc>
        <w:tc>
          <w:tcPr>
            <w:tcW w:w="4900" w:type="dxa"/>
            <w:vAlign w:val="bottom"/>
            <w:gridSpan w:val="7"/>
            <w:shd w:val="clear" w:color="auto" w:fill="CCEEFF"/>
          </w:tcPr>
          <w:p>
            <w:pPr>
              <w:spacing w:after="0"/>
              <w:rPr>
                <w:sz w:val="15"/>
                <w:szCs w:val="15"/>
                <w:color w:val="auto"/>
              </w:rPr>
            </w:pPr>
          </w:p>
        </w:tc>
        <w:tc>
          <w:tcPr>
            <w:tcW w:w="5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33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0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00" w:type="dxa"/>
            <w:vAlign w:val="bottom"/>
            <w:gridSpan w:val="13"/>
          </w:tcPr>
          <w:p>
            <w:pPr>
              <w:spacing w:after="0" w:line="176" w:lineRule="exact"/>
              <w:rPr>
                <w:sz w:val="20"/>
                <w:szCs w:val="20"/>
                <w:color w:val="auto"/>
              </w:rPr>
            </w:pPr>
            <w:r>
              <w:rPr>
                <w:rFonts w:ascii="Times New Roman" w:cs="Times New Roman" w:eastAsia="Times New Roman" w:hAnsi="Times New Roman"/>
                <w:sz w:val="17"/>
                <w:szCs w:val="17"/>
                <w:color w:val="0000EE"/>
              </w:rPr>
              <w:t>Forms of Securities</w:t>
            </w:r>
          </w:p>
        </w:tc>
        <w:tc>
          <w:tcPr>
            <w:tcW w:w="4900" w:type="dxa"/>
            <w:vAlign w:val="bottom"/>
            <w:gridSpan w:val="7"/>
          </w:tcPr>
          <w:p>
            <w:pPr>
              <w:spacing w:after="0"/>
              <w:rPr>
                <w:sz w:val="15"/>
                <w:szCs w:val="15"/>
                <w:color w:val="auto"/>
              </w:rPr>
            </w:pPr>
          </w:p>
        </w:tc>
        <w:tc>
          <w:tcPr>
            <w:tcW w:w="5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7"/>
                <w:szCs w:val="17"/>
                <w:color w:val="0000EE"/>
              </w:rPr>
              <w:t>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4"/>
              </w:rPr>
              <w:t>Plan of Distribution</w:t>
            </w:r>
          </w:p>
        </w:tc>
        <w:tc>
          <w:tcPr>
            <w:tcW w:w="5900" w:type="dxa"/>
            <w:vAlign w:val="bottom"/>
            <w:gridSpan w:val="12"/>
            <w:shd w:val="clear" w:color="auto" w:fill="CCEEFF"/>
          </w:tcPr>
          <w:p>
            <w:pPr>
              <w:spacing w:after="0"/>
              <w:rPr>
                <w:sz w:val="15"/>
                <w:szCs w:val="15"/>
                <w:color w:val="auto"/>
              </w:rPr>
            </w:pPr>
          </w:p>
        </w:tc>
        <w:tc>
          <w:tcPr>
            <w:tcW w:w="5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36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0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00" w:type="dxa"/>
            <w:vAlign w:val="bottom"/>
            <w:gridSpan w:val="8"/>
          </w:tcPr>
          <w:p>
            <w:pPr>
              <w:spacing w:after="0" w:line="176" w:lineRule="exact"/>
              <w:rPr>
                <w:sz w:val="20"/>
                <w:szCs w:val="20"/>
                <w:color w:val="auto"/>
              </w:rPr>
            </w:pPr>
            <w:r>
              <w:rPr>
                <w:rFonts w:ascii="Times New Roman" w:cs="Times New Roman" w:eastAsia="Times New Roman" w:hAnsi="Times New Roman"/>
                <w:sz w:val="17"/>
                <w:szCs w:val="17"/>
                <w:color w:val="0000EE"/>
              </w:rPr>
              <w:t>Expenses</w:t>
            </w:r>
          </w:p>
        </w:tc>
        <w:tc>
          <w:tcPr>
            <w:tcW w:w="5900" w:type="dxa"/>
            <w:vAlign w:val="bottom"/>
            <w:gridSpan w:val="12"/>
          </w:tcPr>
          <w:p>
            <w:pPr>
              <w:spacing w:after="0"/>
              <w:rPr>
                <w:sz w:val="15"/>
                <w:szCs w:val="15"/>
                <w:color w:val="auto"/>
              </w:rPr>
            </w:pPr>
          </w:p>
        </w:tc>
        <w:tc>
          <w:tcPr>
            <w:tcW w:w="5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7"/>
                <w:szCs w:val="17"/>
                <w:color w:val="0000EE"/>
              </w:rPr>
              <w:t>38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Legal Matters</w:t>
            </w:r>
          </w:p>
        </w:tc>
        <w:tc>
          <w:tcPr>
            <w:tcW w:w="5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38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0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4"/>
          </w:tcPr>
          <w:p>
            <w:pPr>
              <w:spacing w:after="0" w:line="176" w:lineRule="exact"/>
              <w:rPr>
                <w:sz w:val="20"/>
                <w:szCs w:val="20"/>
                <w:color w:val="auto"/>
              </w:rPr>
            </w:pPr>
            <w:r>
              <w:rPr>
                <w:rFonts w:ascii="Times New Roman" w:cs="Times New Roman" w:eastAsia="Times New Roman" w:hAnsi="Times New Roman"/>
                <w:sz w:val="17"/>
                <w:szCs w:val="17"/>
                <w:color w:val="0000EE"/>
              </w:rPr>
              <w:t>Experts</w:t>
            </w:r>
          </w:p>
        </w:tc>
        <w:tc>
          <w:tcPr>
            <w:tcW w:w="6300" w:type="dxa"/>
            <w:vAlign w:val="bottom"/>
            <w:gridSpan w:val="16"/>
          </w:tcPr>
          <w:p>
            <w:pPr>
              <w:spacing w:after="0"/>
              <w:rPr>
                <w:sz w:val="15"/>
                <w:szCs w:val="15"/>
                <w:color w:val="auto"/>
              </w:rPr>
            </w:pPr>
          </w:p>
        </w:tc>
        <w:tc>
          <w:tcPr>
            <w:tcW w:w="5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7"/>
                <w:szCs w:val="17"/>
                <w:color w:val="0000EE"/>
              </w:rPr>
              <w:t>38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7"/>
              </w:rPr>
              <w:t>Service of Process and Enforcement of Liabilities</w:t>
            </w:r>
          </w:p>
        </w:tc>
        <w:tc>
          <w:tcPr>
            <w:tcW w:w="3900" w:type="dxa"/>
            <w:vAlign w:val="bottom"/>
            <w:gridSpan w:val="2"/>
            <w:shd w:val="clear" w:color="auto" w:fill="CCEEFF"/>
          </w:tcPr>
          <w:p>
            <w:pPr>
              <w:spacing w:after="0"/>
              <w:rPr>
                <w:sz w:val="15"/>
                <w:szCs w:val="15"/>
                <w:color w:val="auto"/>
              </w:rPr>
            </w:pPr>
          </w:p>
        </w:tc>
        <w:tc>
          <w:tcPr>
            <w:tcW w:w="5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39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0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00" w:type="dxa"/>
            <w:vAlign w:val="bottom"/>
            <w:gridSpan w:val="18"/>
          </w:tcPr>
          <w:p>
            <w:pPr>
              <w:spacing w:after="0" w:line="176"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3900" w:type="dxa"/>
            <w:vAlign w:val="bottom"/>
            <w:gridSpan w:val="2"/>
          </w:tcPr>
          <w:p>
            <w:pPr>
              <w:spacing w:after="0"/>
              <w:rPr>
                <w:sz w:val="15"/>
                <w:szCs w:val="15"/>
                <w:color w:val="auto"/>
              </w:rPr>
            </w:pPr>
          </w:p>
        </w:tc>
        <w:tc>
          <w:tcPr>
            <w:tcW w:w="5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7"/>
                <w:szCs w:val="17"/>
                <w:color w:val="0000EE"/>
              </w:rPr>
              <w:t>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Information Incorporated by Reference</w:t>
            </w:r>
          </w:p>
        </w:tc>
        <w:tc>
          <w:tcPr>
            <w:tcW w:w="5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41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30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117475</wp:posOffset>
            </wp:positionV>
            <wp:extent cx="649732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 w:name="page4"/>
    <w:bookmarkEnd w:id="3"/>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09"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This prospectus is a part of a registration statement that we filed with the SEC, utilizing a “shelf” registration process. Under this shelf registration process, we may, from time to time, in one or more offerings, offer and sell up to $400,000,000 of any combination of the securities described in this prospectus. This prospectus provides you with a general description of the securities we may offer. Each time we sell securities, we will provide a prospectus supplement accompanied by this prospectus. The prospectus supplement will contain specific information about the nature of the persons offering securities and the terms of the securities being offered at that time. The prospectus supplement may also supplement, update or amend information contained in this prospectus.</w:t>
      </w:r>
    </w:p>
    <w:p>
      <w:pPr>
        <w:spacing w:after="0" w:line="79" w:lineRule="exact"/>
        <w:rPr>
          <w:sz w:val="20"/>
          <w:szCs w:val="20"/>
          <w:color w:val="auto"/>
        </w:rPr>
      </w:pPr>
    </w:p>
    <w:p>
      <w:pPr>
        <w:jc w:val="both"/>
        <w:ind w:left="600" w:right="599" w:firstLine="334"/>
        <w:spacing w:after="0" w:line="252" w:lineRule="auto"/>
        <w:rPr>
          <w:sz w:val="20"/>
          <w:szCs w:val="20"/>
          <w:color w:val="auto"/>
        </w:rPr>
      </w:pPr>
      <w:r>
        <w:rPr>
          <w:rFonts w:ascii="Times New Roman" w:cs="Times New Roman" w:eastAsia="Times New Roman" w:hAnsi="Times New Roman"/>
          <w:sz w:val="17"/>
          <w:szCs w:val="17"/>
          <w:color w:val="auto"/>
        </w:rPr>
        <w:t>Before investing in any of the securities that we are offering, you should carefully read both this prospectus and any prospectus supplement, together with all of the information incorporated by reference in this prospectus, as well as the additional information described under the headings “Where You Can Find More Information” and “Information Incorporated by Reference.” These documents contain important information that you should consider when making your investment decision.</w:t>
      </w:r>
    </w:p>
    <w:p>
      <w:pPr>
        <w:spacing w:after="0" w:line="77" w:lineRule="exact"/>
        <w:rPr>
          <w:sz w:val="20"/>
          <w:szCs w:val="20"/>
          <w:color w:val="auto"/>
        </w:rPr>
      </w:pPr>
    </w:p>
    <w:p>
      <w:pPr>
        <w:jc w:val="both"/>
        <w:ind w:left="600" w:right="599" w:firstLine="334"/>
        <w:spacing w:after="0" w:line="272" w:lineRule="auto"/>
        <w:rPr>
          <w:sz w:val="20"/>
          <w:szCs w:val="20"/>
          <w:color w:val="auto"/>
        </w:rPr>
      </w:pPr>
      <w:r>
        <w:rPr>
          <w:rFonts w:ascii="Times New Roman" w:cs="Times New Roman" w:eastAsia="Times New Roman" w:hAnsi="Times New Roman"/>
          <w:sz w:val="17"/>
          <w:szCs w:val="17"/>
          <w:color w:val="auto"/>
        </w:rPr>
        <w:t>We have filed or incorporated by reference exhibits to the registration statement of which this prospectus forms a part. You should read the exhibits carefully for provisions that may be important to you.</w:t>
      </w:r>
    </w:p>
    <w:p>
      <w:pPr>
        <w:spacing w:after="0" w:line="58" w:lineRule="exact"/>
        <w:rPr>
          <w:sz w:val="20"/>
          <w:szCs w:val="20"/>
          <w:color w:val="auto"/>
        </w:rPr>
      </w:pPr>
    </w:p>
    <w:p>
      <w:pPr>
        <w:jc w:val="both"/>
        <w:ind w:left="600" w:right="599" w:firstLine="334"/>
        <w:spacing w:after="0" w:line="251" w:lineRule="auto"/>
        <w:rPr>
          <w:sz w:val="20"/>
          <w:szCs w:val="20"/>
          <w:color w:val="auto"/>
        </w:rPr>
      </w:pPr>
      <w:r>
        <w:rPr>
          <w:rFonts w:ascii="Times New Roman" w:cs="Times New Roman" w:eastAsia="Times New Roman" w:hAnsi="Times New Roman"/>
          <w:sz w:val="17"/>
          <w:szCs w:val="17"/>
          <w:color w:val="auto"/>
        </w:rPr>
        <w:t>To the extent there is a conflict between the information contained in this prospectus, on the one hand, and the information contained in any prospectus supplement or in any document incorporated by reference in this prospectus, on the other hand, you should look to the information in this prospectus, provided that if any statement in one of these documents is inconsistent with a statement in another document having a later date—for example, a prospectus supplement or a document incorporated by reference in this prospectus—the statement in the document having the later date modifies or supersedes the earlier statement.</w:t>
      </w:r>
    </w:p>
    <w:p>
      <w:pPr>
        <w:spacing w:after="0" w:line="73" w:lineRule="exact"/>
        <w:rPr>
          <w:sz w:val="20"/>
          <w:szCs w:val="20"/>
          <w:color w:val="auto"/>
        </w:rPr>
      </w:pPr>
    </w:p>
    <w:p>
      <w:pPr>
        <w:jc w:val="both"/>
        <w:ind w:left="600" w:right="599" w:firstLine="334"/>
        <w:spacing w:after="0" w:line="252" w:lineRule="auto"/>
        <w:rPr>
          <w:sz w:val="20"/>
          <w:szCs w:val="20"/>
          <w:color w:val="auto"/>
        </w:rPr>
      </w:pPr>
      <w:r>
        <w:rPr>
          <w:rFonts w:ascii="Times New Roman" w:cs="Times New Roman" w:eastAsia="Times New Roman" w:hAnsi="Times New Roman"/>
          <w:sz w:val="17"/>
          <w:szCs w:val="17"/>
          <w:b w:val="1"/>
          <w:bCs w:val="1"/>
          <w:color w:val="auto"/>
        </w:rPr>
        <w:t>Neither the delivery of this prospectus nor any offering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76"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Neither we nor any underwriters, dealers or agents have authorized anyone to provide you with any information or to represent as to anything different from, or not contained or incorporated by reference in, this prospectus, any amendment or supplement to this prospectus, or in any free writing prospectus we may authorize to be delivered or made available to you. Neither we nor any underwriters, dealers or agents take responsibility for, or provide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w:t>
      </w:r>
    </w:p>
    <w:p>
      <w:pPr>
        <w:spacing w:after="0" w:line="76" w:lineRule="exact"/>
        <w:rPr>
          <w:sz w:val="20"/>
          <w:szCs w:val="20"/>
          <w:color w:val="auto"/>
        </w:rPr>
      </w:pPr>
    </w:p>
    <w:p>
      <w:pPr>
        <w:jc w:val="both"/>
        <w:ind w:left="600" w:right="599" w:firstLine="334"/>
        <w:spacing w:after="0" w:line="251" w:lineRule="auto"/>
        <w:rPr>
          <w:sz w:val="20"/>
          <w:szCs w:val="20"/>
          <w:color w:val="auto"/>
        </w:rPr>
      </w:pPr>
      <w:r>
        <w:rPr>
          <w:rFonts w:ascii="Times New Roman" w:cs="Times New Roman" w:eastAsia="Times New Roman" w:hAnsi="Times New Roman"/>
          <w:sz w:val="17"/>
          <w:szCs w:val="17"/>
          <w:color w:val="auto"/>
        </w:rPr>
        <w:t>Neither we nor any underwriters, dealers or agents have taken any action that would permit the offering or possession or distribution of this prospectus or any filed free writing prospectus in any jurisdiction where other action for that purpose is required, other than in the United States. Persons outside the United States who come into possession of this prospectus or any free writing prospectus filed with the SEC must inform themselves about, and observe any restrictions relating to, the offering of the securities described in this prospectus and the distribution of this prospectus or any filed free writing prospectus outside of the United States.</w:t>
      </w:r>
    </w:p>
    <w:p>
      <w:pPr>
        <w:spacing w:after="0" w:line="73" w:lineRule="exact"/>
        <w:rPr>
          <w:sz w:val="20"/>
          <w:szCs w:val="20"/>
          <w:color w:val="auto"/>
        </w:rPr>
      </w:pPr>
    </w:p>
    <w:p>
      <w:pPr>
        <w:jc w:val="both"/>
        <w:ind w:left="600" w:right="599" w:firstLine="334"/>
        <w:spacing w:after="0" w:line="251" w:lineRule="auto"/>
        <w:rPr>
          <w:sz w:val="20"/>
          <w:szCs w:val="20"/>
          <w:color w:val="auto"/>
        </w:rPr>
      </w:pPr>
      <w:r>
        <w:rPr>
          <w:rFonts w:ascii="Times New Roman" w:cs="Times New Roman" w:eastAsia="Times New Roman" w:hAnsi="Times New Roman"/>
          <w:sz w:val="17"/>
          <w:szCs w:val="17"/>
          <w:b w:val="1"/>
          <w:bCs w:val="1"/>
          <w:color w:val="auto"/>
        </w:rPr>
        <w:t>This prospectus is not a prospectus for the purposes of the Irish Companies Act 2014 (as amended), the EU Prospectus Regulation (EU) 2017/1129 (as amended), the European Union (Prospectus) Regulations 2019 of Ireland (as amended) or the Central Bank (Investment Market Conduct) Rules 2019 of Ireland. This prospectus has not been approved by the Central Bank of Ireland, as competent authority under the Prospectus Regulation, or any equivalent authority in an European Economic Area member state. No offer of securities to the public is made, or will be made, that requires the publication of a prospectus pursuant to Irish or European prospectus law within the meaning of the above regulation.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 w:name="page5"/>
    <w:bookmarkEnd w:id="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Market and Industry Data</w:t>
      </w:r>
    </w:p>
    <w:p>
      <w:pPr>
        <w:spacing w:after="0" w:line="109"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or estimates.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 w:name="page6"/>
    <w:bookmarkEnd w:id="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09"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We are a clinical-stage biopharmaceutical company dedicated to transforming the lives of patients by developing a practice-changing treatment in depression. Our initial focus is on developing our novel and proprietary mebufotenin therapies for the treatment of patients with treatment-resistant depression, or TRD.</w:t>
      </w:r>
    </w:p>
    <w:p>
      <w:pPr>
        <w:spacing w:after="0" w:line="69" w:lineRule="exact"/>
        <w:rPr>
          <w:sz w:val="20"/>
          <w:szCs w:val="20"/>
          <w:color w:val="auto"/>
        </w:rPr>
      </w:pPr>
    </w:p>
    <w:p>
      <w:pPr>
        <w:jc w:val="both"/>
        <w:ind w:left="600" w:right="599" w:firstLine="334"/>
        <w:spacing w:after="0" w:line="248" w:lineRule="auto"/>
        <w:rPr>
          <w:sz w:val="20"/>
          <w:szCs w:val="20"/>
          <w:color w:val="auto"/>
        </w:rPr>
      </w:pPr>
      <w:r>
        <w:rPr>
          <w:rFonts w:ascii="Times New Roman" w:cs="Times New Roman" w:eastAsia="Times New Roman" w:hAnsi="Times New Roman"/>
          <w:sz w:val="17"/>
          <w:szCs w:val="17"/>
          <w:color w:val="auto"/>
        </w:rPr>
        <w:t>Our portfolio currently includes GH001, our proprietary inhalable mebufotenin product candidate and GH002, our proprietary intravenous mebufotenin product candidate. While GH001 is currently delivered via a vaporization device produced by a third party, we are developing a proprietary aerosol delivery device, which is currently in clinical investigation in Europe. We have completed two Phase 1 healthy volunteer clinical trials for GH001 (GH001-HV-101 and GH001-HV-103), in which administration of GH001 via inhalation was observed to be well tolerated at the investigated single dose levels and in an individualized dosing regimen, or IDR, with intra-subject dose escalation within a single day. We have also completed a Phase 1/2 clinical trial in patients with TRD (GH001-TRD-102) and a multi-center, randomized, double-blind, placebo-controlled Phase 2b trial with an Open-Label Extension of GH001 in patients with TRD (GH001-TRD-201). Based on observed clinical activity in these clinical trials, we believe that administration of GH001 has the potential to induce ultra-rapid remissions as measured by the Montgomery–Åsberg Depression Rating Scale, or MADRS, in TRD patients.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09" w:lineRule="exact"/>
        <w:rPr>
          <w:sz w:val="20"/>
          <w:szCs w:val="20"/>
          <w:color w:val="auto"/>
        </w:rPr>
      </w:pPr>
    </w:p>
    <w:p>
      <w:pPr>
        <w:jc w:val="both"/>
        <w:ind w:left="600" w:right="599" w:firstLine="334"/>
        <w:spacing w:after="0" w:line="251" w:lineRule="auto"/>
        <w:rPr>
          <w:sz w:val="20"/>
          <w:szCs w:val="20"/>
          <w:color w:val="auto"/>
        </w:rPr>
      </w:pPr>
      <w:r>
        <w:rPr>
          <w:rFonts w:ascii="Times New Roman" w:cs="Times New Roman" w:eastAsia="Times New Roman" w:hAnsi="Times New Roman"/>
          <w:sz w:val="17"/>
          <w:szCs w:val="17"/>
          <w:color w:val="auto"/>
        </w:rPr>
        <w:t>GH Research PLC was incorporated as a public limited company under the laws of Ireland on March 29, 2021 to become a holding company for GH Research Ireland Limited. GH Research Ireland Limited was originally incorporated under the laws of Ireland on October 16, 2018 as GH Research Limited. GH Research Limited changed its name to GH Research Ireland Limited on March 29, 2021. Our principal place of business is located at Joshua Dawson House, Dawson Street, Dublin 2, D02 RY95, Ireland, and our telephone number is + 353 1 437 8334.</w:t>
      </w:r>
    </w:p>
    <w:p>
      <w:pPr>
        <w:spacing w:after="0" w:line="77"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6"/>
          <w:szCs w:val="16"/>
          <w:color w:val="auto"/>
        </w:rPr>
        <w:t>Our website address is www.ghres.com. We do not incorporate the information on or accessible through our website into this prospectus, and you should not consider any information on, or that can be accessed through, our website as part of this prospectus. We are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Implications of Being an Emerging Growth Company and a Foreign Private Issuer</w:t>
      </w:r>
    </w:p>
    <w:p>
      <w:pPr>
        <w:spacing w:after="0" w:line="109" w:lineRule="exact"/>
        <w:rPr>
          <w:sz w:val="20"/>
          <w:szCs w:val="20"/>
          <w:color w:val="auto"/>
        </w:rPr>
      </w:pPr>
    </w:p>
    <w:p>
      <w:pPr>
        <w:jc w:val="both"/>
        <w:ind w:left="600" w:right="599" w:firstLine="334"/>
        <w:spacing w:after="0" w:line="255" w:lineRule="auto"/>
        <w:rPr>
          <w:sz w:val="20"/>
          <w:szCs w:val="20"/>
          <w:color w:val="auto"/>
        </w:rPr>
      </w:pPr>
      <w:r>
        <w:rPr>
          <w:rFonts w:ascii="Times New Roman" w:cs="Times New Roman" w:eastAsia="Times New Roman" w:hAnsi="Times New Roman"/>
          <w:sz w:val="17"/>
          <w:szCs w:val="17"/>
          <w:color w:val="auto"/>
        </w:rPr>
        <w:t>As a company with less than $1.235 billion in revenue during our last fiscal year, we qualify as an “emerging growth company” as defined in the Jumpstart Our Business Startups Act of 2012, as amended, or the JOBS Act. An emerging growth company may take advantage of specified reduced disclosure and other requirements that are otherwise applicable generally to public companies. These provisions include, but are not limited to:</w:t>
      </w:r>
    </w:p>
    <w:p>
      <w:pPr>
        <w:spacing w:after="0" w:line="72" w:lineRule="exact"/>
        <w:rPr>
          <w:sz w:val="20"/>
          <w:szCs w:val="20"/>
          <w:color w:val="auto"/>
        </w:rPr>
      </w:pPr>
    </w:p>
    <w:p>
      <w:pPr>
        <w:ind w:left="1260" w:right="619" w:hanging="334"/>
        <w:spacing w:after="0" w:line="272" w:lineRule="auto"/>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exemption from the auditor attestation requirement in the assessment of our internal control over financial reporting pursuant to the Sarbanes-Oxley Act of 2002, or the Sarbanes-Oxley Act; and</w:t>
      </w:r>
    </w:p>
    <w:p>
      <w:pPr>
        <w:spacing w:after="0" w:line="58" w:lineRule="exact"/>
        <w:rPr>
          <w:rFonts w:ascii="Times New Roman" w:cs="Times New Roman" w:eastAsia="Times New Roman" w:hAnsi="Times New Roman"/>
          <w:sz w:val="17"/>
          <w:szCs w:val="17"/>
          <w:color w:val="auto"/>
        </w:rPr>
      </w:pPr>
    </w:p>
    <w:p>
      <w:pPr>
        <w:jc w:val="both"/>
        <w:ind w:left="1260" w:right="599" w:hanging="334"/>
        <w:spacing w:after="0" w:line="255" w:lineRule="auto"/>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72" w:lineRule="exact"/>
        <w:rPr>
          <w:sz w:val="20"/>
          <w:szCs w:val="20"/>
          <w:color w:val="auto"/>
        </w:rPr>
      </w:pPr>
    </w:p>
    <w:p>
      <w:pPr>
        <w:jc w:val="both"/>
        <w:ind w:left="600" w:right="599" w:firstLine="334"/>
        <w:spacing w:after="0" w:line="251" w:lineRule="auto"/>
        <w:rPr>
          <w:sz w:val="20"/>
          <w:szCs w:val="20"/>
          <w:color w:val="auto"/>
        </w:rPr>
      </w:pPr>
      <w:r>
        <w:rPr>
          <w:rFonts w:ascii="Times New Roman" w:cs="Times New Roman" w:eastAsia="Times New Roman" w:hAnsi="Times New Roman"/>
          <w:sz w:val="17"/>
          <w:szCs w:val="17"/>
          <w:color w:val="auto"/>
        </w:rPr>
        <w:t>We may take advantage of these exemptions for up to five years or such earlier time that we are no longer an emerging growth company. We would cease to be an emerging growth company upon the earlier to occur of: (i) the last day of the fiscal year in which we have total annual gross revenue of $1.235 billion or more; (ii) the date on which we have issued more than $1 billion in nonconvertible debt during the previous three-year period; (iii) the date on which we are deemed to be a large accelerated filer under the rules of the SEC; or (iv) December 31, 2026. We may choose to take advantage of some but not all of these exemptions.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117475</wp:posOffset>
            </wp:positionV>
            <wp:extent cx="649732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6" w:name="page7"/>
    <w:bookmarkEnd w:id="6"/>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2" w:lineRule="exact"/>
        <w:rPr>
          <w:sz w:val="20"/>
          <w:szCs w:val="20"/>
          <w:color w:val="auto"/>
        </w:rPr>
      </w:pPr>
    </w:p>
    <w:p>
      <w:pPr>
        <w:jc w:val="both"/>
        <w:ind w:left="600" w:right="599" w:firstLine="334"/>
        <w:spacing w:after="0" w:line="255" w:lineRule="auto"/>
        <w:rPr>
          <w:sz w:val="20"/>
          <w:szCs w:val="20"/>
          <w:color w:val="auto"/>
        </w:rPr>
      </w:pPr>
      <w:r>
        <w:rPr>
          <w:rFonts w:ascii="Times New Roman" w:cs="Times New Roman" w:eastAsia="Times New Roman" w:hAnsi="Times New Roman"/>
          <w:sz w:val="17"/>
          <w:szCs w:val="17"/>
          <w:color w:val="auto"/>
        </w:rPr>
        <w:t>We report under the Securities Exchange Act of 1934, as amended, or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72" w:lineRule="exact"/>
        <w:rPr>
          <w:sz w:val="20"/>
          <w:szCs w:val="20"/>
          <w:color w:val="auto"/>
        </w:rPr>
      </w:pPr>
    </w:p>
    <w:p>
      <w:pPr>
        <w:ind w:left="1260" w:right="619" w:hanging="334"/>
        <w:spacing w:after="0" w:line="272"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sections of the Exchange Act regulating the solicitation of proxies, consents or authorizations with respect to a security registered under the Exchange Act;</w:t>
      </w:r>
    </w:p>
    <w:p>
      <w:pPr>
        <w:spacing w:after="0" w:line="58" w:lineRule="exact"/>
        <w:rPr>
          <w:rFonts w:ascii="Times New Roman" w:cs="Times New Roman" w:eastAsia="Times New Roman" w:hAnsi="Times New Roman"/>
          <w:sz w:val="17"/>
          <w:szCs w:val="17"/>
          <w:color w:val="auto"/>
        </w:rPr>
      </w:pPr>
    </w:p>
    <w:p>
      <w:pPr>
        <w:ind w:left="1260" w:right="619" w:hanging="334"/>
        <w:spacing w:after="0" w:line="272"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to comply with Regulation FD, which restricts the selective disclosure of material information;</w:t>
      </w:r>
    </w:p>
    <w:p>
      <w:pPr>
        <w:spacing w:after="0" w:line="58" w:lineRule="exact"/>
        <w:rPr>
          <w:rFonts w:ascii="Times New Roman" w:cs="Times New Roman" w:eastAsia="Times New Roman" w:hAnsi="Times New Roman"/>
          <w:sz w:val="17"/>
          <w:szCs w:val="17"/>
          <w:color w:val="auto"/>
        </w:rPr>
      </w:pPr>
    </w:p>
    <w:p>
      <w:pPr>
        <w:jc w:val="both"/>
        <w:ind w:left="1260" w:right="619" w:hanging="334"/>
        <w:spacing w:after="0" w:line="259"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sections of the Exchange Act requiring our principal shareholders to file public reports of their share ownership and trading activities and liability for insiders who profit from trades made in a short period of time; and</w:t>
      </w:r>
    </w:p>
    <w:p>
      <w:pPr>
        <w:spacing w:after="0" w:line="69" w:lineRule="exact"/>
        <w:rPr>
          <w:rFonts w:ascii="Times New Roman" w:cs="Times New Roman" w:eastAsia="Times New Roman" w:hAnsi="Times New Roman"/>
          <w:sz w:val="17"/>
          <w:szCs w:val="17"/>
          <w:color w:val="auto"/>
        </w:rPr>
      </w:pPr>
    </w:p>
    <w:p>
      <w:pPr>
        <w:jc w:val="both"/>
        <w:ind w:left="1260" w:right="619" w:hanging="334"/>
        <w:spacing w:after="0" w:line="259"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69" w:lineRule="exact"/>
        <w:rPr>
          <w:sz w:val="20"/>
          <w:szCs w:val="20"/>
          <w:color w:val="auto"/>
        </w:rPr>
      </w:pPr>
    </w:p>
    <w:p>
      <w:pPr>
        <w:jc w:val="both"/>
        <w:ind w:left="600" w:right="599" w:firstLine="334"/>
        <w:spacing w:after="0" w:line="252" w:lineRule="auto"/>
        <w:rPr>
          <w:sz w:val="20"/>
          <w:szCs w:val="20"/>
          <w:color w:val="auto"/>
        </w:rPr>
      </w:pPr>
      <w:r>
        <w:rPr>
          <w:rFonts w:ascii="Times New Roman" w:cs="Times New Roman" w:eastAsia="Times New Roman" w:hAnsi="Times New Roman"/>
          <w:sz w:val="17"/>
          <w:szCs w:val="17"/>
          <w:color w:val="auto"/>
        </w:rPr>
        <w:t>Even if we no longer qualify as an emerging growth company, but remain a foreign private issuer, we will continue to be exempt from the more stringent compensation disclosures required of companies that are neither an emerging growth company nor a foreign private issuer. As a result, we do not know whether some investors will find our ordinary shares less attractive, which may result in a less active trading market for our ordinary shares or more volatility in the price of our ordinary shares.</w:t>
      </w:r>
    </w:p>
    <w:p>
      <w:pPr>
        <w:spacing w:after="0" w:line="77" w:lineRule="exact"/>
        <w:rPr>
          <w:sz w:val="20"/>
          <w:szCs w:val="20"/>
          <w:color w:val="auto"/>
        </w:rPr>
      </w:pPr>
    </w:p>
    <w:p>
      <w:pPr>
        <w:jc w:val="both"/>
        <w:ind w:left="600" w:right="599" w:firstLine="334"/>
        <w:spacing w:after="0" w:line="252" w:lineRule="auto"/>
        <w:rPr>
          <w:sz w:val="20"/>
          <w:szCs w:val="20"/>
          <w:color w:val="auto"/>
        </w:rPr>
      </w:pPr>
      <w:r>
        <w:rPr>
          <w:rFonts w:ascii="Times New Roman" w:cs="Times New Roman" w:eastAsia="Times New Roman" w:hAnsi="Times New Roman"/>
          <w:sz w:val="17"/>
          <w:szCs w:val="17"/>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77" w:lineRule="exact"/>
        <w:rPr>
          <w:sz w:val="20"/>
          <w:szCs w:val="20"/>
          <w:color w:val="auto"/>
        </w:rPr>
      </w:pPr>
    </w:p>
    <w:p>
      <w:pPr>
        <w:jc w:val="both"/>
        <w:ind w:left="600" w:right="599" w:firstLine="334"/>
        <w:spacing w:after="0" w:line="252" w:lineRule="auto"/>
        <w:rPr>
          <w:sz w:val="20"/>
          <w:szCs w:val="20"/>
          <w:color w:val="auto"/>
        </w:rPr>
      </w:pPr>
      <w:r>
        <w:rPr>
          <w:rFonts w:ascii="Times New Roman" w:cs="Times New Roman" w:eastAsia="Times New Roman" w:hAnsi="Times New Roman"/>
          <w:sz w:val="17"/>
          <w:szCs w:val="17"/>
          <w:color w:val="auto"/>
        </w:rPr>
        <w:t>In this prospectus and in the documents incorporated by reference in this prospectus, we have taken advantage of certain of the reduced reporting requirements as a result of being an emerging growth company and a foreign private issuer. Accordingly, the information contained in this prospectus and in the documents incorporated by reference in this prospectus may be different than the information you receive from other public companies in which you hold equity securities.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7" w:name="page8"/>
    <w:bookmarkEnd w:id="7"/>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09" w:lineRule="exact"/>
        <w:rPr>
          <w:sz w:val="20"/>
          <w:szCs w:val="20"/>
          <w:color w:val="auto"/>
        </w:rPr>
      </w:pPr>
    </w:p>
    <w:p>
      <w:pPr>
        <w:jc w:val="both"/>
        <w:ind w:left="600" w:right="599" w:firstLine="334"/>
        <w:spacing w:after="0" w:line="249" w:lineRule="auto"/>
        <w:rPr>
          <w:sz w:val="20"/>
          <w:szCs w:val="20"/>
          <w:color w:val="auto"/>
        </w:rPr>
      </w:pPr>
      <w:r>
        <w:rPr>
          <w:rFonts w:ascii="Times New Roman" w:cs="Times New Roman" w:eastAsia="Times New Roman" w:hAnsi="Times New Roman"/>
          <w:sz w:val="17"/>
          <w:szCs w:val="17"/>
          <w:color w:val="auto"/>
        </w:rPr>
        <w:t>Investing in our securities involves risk. Before making a decision to invest in our securities, you should carefully consider the risks described under “Risk Factors” in the applicable prospectus supplement and in our then-most recent annual report on Form 20-F, incorporated by reference in this prospectus, and any updates to those risk factors in our reports on Form 6-K which are specifically identified therein as being incorporated by reference in this prospectus, together with all of the other information appearing or incorporated by reference in this prospectus and any applicable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8" w:name="page9"/>
    <w:bookmarkEnd w:id="8"/>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109" w:lineRule="exact"/>
        <w:rPr>
          <w:sz w:val="20"/>
          <w:szCs w:val="20"/>
          <w:color w:val="auto"/>
        </w:rPr>
      </w:pPr>
    </w:p>
    <w:p>
      <w:pPr>
        <w:jc w:val="both"/>
        <w:ind w:left="600" w:right="599" w:firstLine="334"/>
        <w:spacing w:after="0" w:line="248" w:lineRule="auto"/>
        <w:rPr>
          <w:sz w:val="20"/>
          <w:szCs w:val="20"/>
          <w:color w:val="auto"/>
        </w:rPr>
      </w:pPr>
      <w:r>
        <w:rPr>
          <w:rFonts w:ascii="Times New Roman" w:cs="Times New Roman" w:eastAsia="Times New Roman" w:hAnsi="Times New Roman"/>
          <w:sz w:val="17"/>
          <w:szCs w:val="17"/>
          <w:color w:val="auto"/>
        </w:rPr>
        <w:t>This prospectus and the documents incorporated by reference in this prospectus contain statements that are, or may deemed to be, “forward-looking statements” within the meaning of Section 27A of the Securities Act, and Section 21E of the Securities Exchange Act of 1934, as amended, or the Exchange Act. All statements other than statements of historical fact included in this prospectus, including statements regarding our future results of operations and financial position, business strategy, product candidates, medical devices required to deliver these product candidates, research pipeline, ongoing and currently planned preclinical studies and clinical trials, regulatory submissions and approvals, research and development costs, cash runway, timing and likelihood of success, our intended use of proceeds from this offering, as well as plans and objectives of management for future operations are forward-looking statements. Many of the forward-looking statements contained in this prospectus can be identified by the use of forward-looking words such as “may,” “anticipate,” “believe,” “could,” “expect,” “should,” “plan,” “intend,” “estimate,” “will,” “potential” and “ongoing,” among others.</w:t>
      </w:r>
    </w:p>
    <w:p>
      <w:pPr>
        <w:spacing w:after="0" w:line="85" w:lineRule="exact"/>
        <w:rPr>
          <w:sz w:val="20"/>
          <w:szCs w:val="20"/>
          <w:color w:val="auto"/>
        </w:rPr>
      </w:pPr>
    </w:p>
    <w:p>
      <w:pPr>
        <w:jc w:val="both"/>
        <w:ind w:left="600" w:right="599" w:firstLine="334"/>
        <w:spacing w:after="0" w:line="268" w:lineRule="auto"/>
        <w:rPr>
          <w:sz w:val="20"/>
          <w:szCs w:val="20"/>
          <w:color w:val="auto"/>
        </w:rPr>
      </w:pPr>
      <w:r>
        <w:rPr>
          <w:rFonts w:ascii="Times New Roman" w:cs="Times New Roman" w:eastAsia="Times New Roman" w:hAnsi="Times New Roman"/>
          <w:sz w:val="16"/>
          <w:szCs w:val="16"/>
          <w:color w:val="auto"/>
        </w:rPr>
        <w:t>Forward-looking statements appear in a number of places in this prospectus and in the documents incorporated by reference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“Risk Factors” in this prospectus, our most recent annual report on Form 20-F and in the other documents incorporated by reference in this prospectus.</w:t>
      </w:r>
    </w:p>
    <w:p>
      <w:pPr>
        <w:spacing w:after="0" w:line="67" w:lineRule="exact"/>
        <w:rPr>
          <w:sz w:val="20"/>
          <w:szCs w:val="20"/>
          <w:color w:val="auto"/>
        </w:rPr>
      </w:pPr>
    </w:p>
    <w:p>
      <w:pPr>
        <w:jc w:val="both"/>
        <w:ind w:left="600" w:right="599" w:firstLine="334"/>
        <w:spacing w:after="0" w:line="248" w:lineRule="auto"/>
        <w:rPr>
          <w:sz w:val="20"/>
          <w:szCs w:val="20"/>
          <w:color w:val="auto"/>
        </w:rPr>
      </w:pPr>
      <w:r>
        <w:rPr>
          <w:rFonts w:ascii="Times New Roman" w:cs="Times New Roman" w:eastAsia="Times New Roman" w:hAnsi="Times New Roman"/>
          <w:sz w:val="17"/>
          <w:szCs w:val="17"/>
          <w:color w:val="auto"/>
        </w:rPr>
        <w:t>These forward-looking statements speak only as of the date such statements are made and are subject to a number of risks, uncertainties and assumptions described more fully in our most recent annual report on Form 20-F and in the other documents incorporated by reference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or incorporated by reference in this prospectus, whether as a result of any new information, future events, changed circumstances or otherwise.</w:t>
      </w:r>
    </w:p>
    <w:p>
      <w:pPr>
        <w:spacing w:after="0" w:line="85" w:lineRule="exact"/>
        <w:rPr>
          <w:sz w:val="20"/>
          <w:szCs w:val="20"/>
          <w:color w:val="auto"/>
        </w:rPr>
      </w:pPr>
    </w:p>
    <w:p>
      <w:pPr>
        <w:jc w:val="both"/>
        <w:ind w:left="600" w:right="599" w:firstLine="334"/>
        <w:spacing w:after="0" w:line="255" w:lineRule="auto"/>
        <w:rPr>
          <w:sz w:val="20"/>
          <w:szCs w:val="20"/>
          <w:color w:val="auto"/>
        </w:rPr>
      </w:pPr>
      <w:r>
        <w:rPr>
          <w:rFonts w:ascii="Times New Roman" w:cs="Times New Roman" w:eastAsia="Times New Roman" w:hAnsi="Times New Roman"/>
          <w:sz w:val="17"/>
          <w:szCs w:val="17"/>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72" w:lineRule="exact"/>
        <w:rPr>
          <w:sz w:val="20"/>
          <w:szCs w:val="20"/>
          <w:color w:val="auto"/>
        </w:rPr>
      </w:pPr>
    </w:p>
    <w:p>
      <w:pPr>
        <w:jc w:val="both"/>
        <w:ind w:left="600" w:right="599" w:firstLine="334"/>
        <w:spacing w:after="0" w:line="251"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such statements,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9" w:name="page10"/>
    <w:bookmarkEnd w:id="9"/>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09" w:lineRule="exact"/>
        <w:rPr>
          <w:sz w:val="20"/>
          <w:szCs w:val="20"/>
          <w:color w:val="auto"/>
        </w:rPr>
      </w:pPr>
    </w:p>
    <w:p>
      <w:pPr>
        <w:jc w:val="both"/>
        <w:ind w:left="600" w:right="599" w:firstLine="334"/>
        <w:spacing w:after="0" w:line="251" w:lineRule="auto"/>
        <w:rPr>
          <w:sz w:val="20"/>
          <w:szCs w:val="20"/>
          <w:color w:val="auto"/>
        </w:rPr>
      </w:pPr>
      <w:r>
        <w:rPr>
          <w:rFonts w:ascii="Times New Roman" w:cs="Times New Roman" w:eastAsia="Times New Roman" w:hAnsi="Times New Roman"/>
          <w:sz w:val="17"/>
          <w:szCs w:val="17"/>
          <w:color w:val="auto"/>
        </w:rPr>
        <w:t>Unless otherwise indicated in a prospectus supplement, we currently intend to use the net proceeds from future offerings to strategically invest in research, clinical and technical development of current and/or additional product candidates in the U.S. and overseas, pre commercialization activities, working capital, capital expenditures and general corporate purposes. Accordingly, we will have significant discretion in the use of any such net proceeds. We may provide additional information on the use of the net proceeds from the issuance and sale of the offered securities in an applicable prospectus supplement relating to the offered securities.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0" w:name="page11"/>
    <w:bookmarkEnd w:id="10"/>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SHARE CAPITAL AND CONSTITUTION</w:t>
      </w:r>
    </w:p>
    <w:p>
      <w:pPr>
        <w:spacing w:after="0" w:line="105" w:lineRule="exact"/>
        <w:rPr>
          <w:sz w:val="20"/>
          <w:szCs w:val="20"/>
          <w:color w:val="auto"/>
        </w:rPr>
      </w:pPr>
    </w:p>
    <w:p>
      <w:pPr>
        <w:jc w:val="both"/>
        <w:ind w:left="600" w:right="599" w:firstLine="334"/>
        <w:spacing w:after="0" w:line="254" w:lineRule="auto"/>
        <w:rPr>
          <w:sz w:val="20"/>
          <w:szCs w:val="20"/>
          <w:color w:val="auto"/>
        </w:rPr>
      </w:pPr>
      <w:r>
        <w:rPr>
          <w:rFonts w:ascii="Times New Roman" w:cs="Times New Roman" w:eastAsia="Times New Roman" w:hAnsi="Times New Roman"/>
          <w:sz w:val="17"/>
          <w:szCs w:val="17"/>
          <w:i w:val="1"/>
          <w:iCs w:val="1"/>
          <w:color w:val="auto"/>
        </w:rPr>
        <w:t>The following description of our share capital is a summary and does not purport to be complete. It is subject to and qualified in its entirety by reference to Irish law, including without limitation the Irish Companies Act 2014 (as amended) (referred to herein as the Irish Companies Act), and by reference to our Constitution, a copy of which is incorporated by reference as an exhibit to the registration statement of which this prospectus is a part. We encourage you to review applicable Irish law and our Constitution for additional information.</w:t>
      </w:r>
    </w:p>
    <w:p>
      <w:pPr>
        <w:spacing w:after="0" w:line="3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109"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We are a public limited company incorporated under the laws of Ireland. We were incorporated on March 29, 2021 to become a holding company for GH Research Ireland Limited. GH Research Ireland Limited was originally incorporated under the laws of Ireland on October 16, 2018 as GH Research Limited. GH Research Limited changed its name to GH Research Ireland Limited on March 29, 2021. Pursuant to the terms of the Corporate Reorganization (as defined below), all shareholders of GH Research Ireland Limited exchanged each of the shares held by them for shares in GH Research PLC of the same share classes with the same shareholder rights and, as a result, GH Research Ireland Limited became a wholly owned subsidiary of GH Research PLC.</w:t>
      </w:r>
    </w:p>
    <w:p>
      <w:pPr>
        <w:spacing w:after="0" w:line="79"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We are registered with the Companies Registration Office in Ireland under company registration number 691405 and our principal place of business is at Joshua Dawson House, Dawson Street, Dublin 2, D02 RY95, Ireland.</w:t>
      </w:r>
    </w:p>
    <w:p>
      <w:pPr>
        <w:spacing w:after="0" w:line="69"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Our objects, detailed in Clause 3 of our memorandum of association, found in our Constitution, are varied and wide ranging and include, among other things, the carrying on of the business of a holding company and of the businesses of a researcher, developer, manufacturer, distributor, wholesaler, retailer, service provider, investor, trader and any other business which may seem to our Board of Directors capable of being conveniently carried on in connection with these objects or calculated directly or indirectly to enhance the value of or render more profitable any of our property. For a more fulsome description of our objects, we encourage you to review the full version of our Constitution, a copy of which is incorporated by reference as an exhibit to the registration statement of which this prospectus forms a part.</w:t>
      </w:r>
    </w:p>
    <w:p>
      <w:pPr>
        <w:spacing w:after="0" w:line="10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For further information on our Constitution, please see “—Key Provisions of our Constitution” below.</w:t>
      </w:r>
    </w:p>
    <w:p>
      <w:pPr>
        <w:spacing w:after="0" w:line="3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Authorized and Issued Share Capital</w:t>
      </w:r>
    </w:p>
    <w:p>
      <w:pPr>
        <w:spacing w:after="0" w:line="109" w:lineRule="exact"/>
        <w:rPr>
          <w:sz w:val="20"/>
          <w:szCs w:val="20"/>
          <w:color w:val="auto"/>
        </w:rPr>
      </w:pPr>
    </w:p>
    <w:p>
      <w:pPr>
        <w:jc w:val="both"/>
        <w:ind w:left="600" w:right="599" w:firstLine="334"/>
        <w:spacing w:after="0" w:line="252" w:lineRule="auto"/>
        <w:rPr>
          <w:sz w:val="20"/>
          <w:szCs w:val="20"/>
          <w:color w:val="auto"/>
        </w:rPr>
      </w:pPr>
      <w:r>
        <w:rPr>
          <w:rFonts w:ascii="Times New Roman" w:cs="Times New Roman" w:eastAsia="Times New Roman" w:hAnsi="Times New Roman"/>
          <w:sz w:val="17"/>
          <w:szCs w:val="17"/>
          <w:color w:val="auto"/>
        </w:rPr>
        <w:t>Pursuant to the terms of a share for share exchange agreement dated May 27, 2021, all shareholders of GH Research Ireland Limited exchanged each of the shares held by them for ordinary shares of GH Research PLC of the same share classes with the same shareholder rights as the shares held by them in GH Research Ireland Limited and, as a result, GH Research Ireland Limited became a wholly owned subsidiary of GH Research PLC (referred to herein as the Corporate Reorganization).</w:t>
      </w:r>
    </w:p>
    <w:p>
      <w:pPr>
        <w:spacing w:after="0" w:line="77"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Pursuant to a shareholder resolution of GH Research PLC dated June 24, 2021, we effected (a) the conversion of (i) 5,923,079 Series A preferred shares of nominal value $0.01 each into 5,923,079 ordinary shares of nominal value $0.01 each and (ii) 25,379,047 Series B preferred shares of nominal value $0.01 each into 25,379,047 ordinary shares of nominal value $0.01 each and (b) the 2.50-for-one share consolidation of the ordinary shares of nominal value $0.01 each into ordinary shares of nominal value $0.025 each, such that the authorized share capital of the Company was thereafter $1,000,000,000 divided into 40,000,000,000 ordinary shares of nominal value $0.025 (collectively referred to herein as the Share Consolidation), immediately after the SEC declared the registration statement for our initial public offering effective.</w:t>
      </w:r>
    </w:p>
    <w:p>
      <w:pPr>
        <w:spacing w:after="0" w:line="76"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As of March 31, 2026, the issued and outstanding share capital of GH Research PLC was 62,052,506 ordinary shares of nominal value $0.025 per share, while as of May 12, 2026, the issued and outstanding share capital of GH Research PLC was 68,608,919 ordinary shares of nominal value $0.025 per share.</w:t>
      </w:r>
    </w:p>
    <w:p>
      <w:pPr>
        <w:spacing w:after="0" w:line="3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Changes in Our Share Capital During the Last Three Fiscal Years</w:t>
      </w:r>
    </w:p>
    <w:p>
      <w:pPr>
        <w:spacing w:after="0" w:line="1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Since January 1, 2023, our share capital has changed as follows:</w:t>
      </w:r>
    </w:p>
    <w:p>
      <w:pPr>
        <w:spacing w:after="0" w:line="105" w:lineRule="exact"/>
        <w:rPr>
          <w:sz w:val="20"/>
          <w:szCs w:val="20"/>
          <w:color w:val="auto"/>
        </w:rPr>
      </w:pPr>
    </w:p>
    <w:p>
      <w:pPr>
        <w:ind w:left="1260" w:hanging="334"/>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30, 2026, we issued 6,527,779 ordinary shares as part of an underwritten offering;</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6, 2025, we issued 10,000,000 ordinary shares as part of an underwritten offering; and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117475</wp:posOffset>
            </wp:positionV>
            <wp:extent cx="649732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1" w:name="page12"/>
    <w:bookmarkEnd w:id="11"/>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2" w:lineRule="exact"/>
        <w:rPr>
          <w:sz w:val="20"/>
          <w:szCs w:val="20"/>
          <w:color w:val="auto"/>
        </w:rPr>
      </w:pPr>
    </w:p>
    <w:p>
      <w:pPr>
        <w:jc w:val="both"/>
        <w:ind w:left="1260" w:right="599" w:hanging="334"/>
        <w:spacing w:after="0" w:line="259" w:lineRule="auto"/>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years ended December 31, 2023, 2024 and 2025, we issued 7,296, nil, and 1,250 ordinary shares, respectively, and in the quarter ended March 31, 2026, we issued 23,111 ordinary shares, upon the exercise of options under our share option plan.</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Ordinary Shares</w:t>
      </w:r>
    </w:p>
    <w:p>
      <w:pPr>
        <w:spacing w:after="0" w:line="109"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Our ordinary shares have a nominal value of $0.025 per share. Further details of the rights attaching to the ordinary shares are set out in the comparison table below and in the Constitution. In accordance with the Constitution, the following summarizes the rights of our ordinary shares:</w:t>
      </w:r>
    </w:p>
    <w:p>
      <w:pPr>
        <w:spacing w:after="0" w:line="69" w:lineRule="exact"/>
        <w:rPr>
          <w:sz w:val="20"/>
          <w:szCs w:val="20"/>
          <w:color w:val="auto"/>
        </w:rPr>
      </w:pPr>
    </w:p>
    <w:p>
      <w:pPr>
        <w:ind w:left="1260" w:right="619" w:hanging="334"/>
        <w:spacing w:after="0" w:line="272" w:lineRule="auto"/>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ordinary shares are entitled to one vote for each ordinary share held of record on all matters submitted to a vote of the shareholders;</w:t>
      </w:r>
    </w:p>
    <w:p>
      <w:pPr>
        <w:spacing w:after="0" w:line="58" w:lineRule="exact"/>
        <w:rPr>
          <w:rFonts w:ascii="Times New Roman" w:cs="Times New Roman" w:eastAsia="Times New Roman" w:hAnsi="Times New Roman"/>
          <w:sz w:val="17"/>
          <w:szCs w:val="17"/>
          <w:color w:val="auto"/>
        </w:rPr>
      </w:pPr>
    </w:p>
    <w:p>
      <w:pPr>
        <w:jc w:val="both"/>
        <w:ind w:left="1260" w:right="599" w:hanging="334"/>
        <w:spacing w:after="0" w:line="259" w:lineRule="auto"/>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our ordinary shares shall be entitled to receive notice of, attend, speak and vote at our general meetings and receive a copy of every report, accounts, circular or other documents sent out by us to our shareholders; and</w:t>
      </w:r>
    </w:p>
    <w:p>
      <w:pPr>
        <w:spacing w:after="0" w:line="69" w:lineRule="exact"/>
        <w:rPr>
          <w:rFonts w:ascii="Times New Roman" w:cs="Times New Roman" w:eastAsia="Times New Roman" w:hAnsi="Times New Roman"/>
          <w:sz w:val="17"/>
          <w:szCs w:val="17"/>
          <w:color w:val="auto"/>
        </w:rPr>
      </w:pPr>
    </w:p>
    <w:p>
      <w:pPr>
        <w:ind w:left="1260" w:right="599" w:hanging="334"/>
        <w:spacing w:after="0" w:line="304" w:lineRule="auto"/>
        <w:tabs>
          <w:tab w:leader="none" w:pos="1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our ordinary shares are entitled to receive such dividends as are recommended by our directors and declared by our shareholders or in the case of an interim dividend, declared by our directors.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Stock Exchange Listing</w:t>
      </w:r>
    </w:p>
    <w:p>
      <w:pPr>
        <w:spacing w:after="0" w:line="1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Our ordinary shares are listed on the Nasdaq Global Market, under the symbol “GHRS.”</w:t>
      </w:r>
    </w:p>
    <w:p>
      <w:pPr>
        <w:spacing w:after="0" w:line="2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Transfer Agent and Registrar of Shares</w:t>
      </w:r>
    </w:p>
    <w:p>
      <w:pPr>
        <w:spacing w:after="0" w:line="109"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Our share register is kept by Computershare Trust Company, N.A., which acts as transfer agent and registrar. The share register reflects only record owners of our shares. Irish law does not recognize fractional shares held of record.</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Key Provisions of our Constitution</w:t>
      </w:r>
    </w:p>
    <w:p>
      <w:pPr>
        <w:spacing w:after="0" w:line="109" w:lineRule="exact"/>
        <w:rPr>
          <w:sz w:val="20"/>
          <w:szCs w:val="20"/>
          <w:color w:val="auto"/>
        </w:rPr>
      </w:pPr>
    </w:p>
    <w:p>
      <w:pPr>
        <w:jc w:val="both"/>
        <w:ind w:left="600" w:right="619" w:firstLine="334"/>
        <w:spacing w:after="0" w:line="255" w:lineRule="auto"/>
        <w:rPr>
          <w:sz w:val="20"/>
          <w:szCs w:val="20"/>
          <w:color w:val="auto"/>
        </w:rPr>
      </w:pPr>
      <w:r>
        <w:rPr>
          <w:rFonts w:ascii="Times New Roman" w:cs="Times New Roman" w:eastAsia="Times New Roman" w:hAnsi="Times New Roman"/>
          <w:sz w:val="17"/>
          <w:szCs w:val="17"/>
          <w:color w:val="auto"/>
        </w:rPr>
        <w:t>The Constitution was adopted on June 24, 2021 and a summary of certain key provisions of the Constitution is set out below. The summary below is not a complete copy of the terms of the Constitution. For further information, please refer to the full version of the Constitution, a copy of which is incorporated by reference as an exhibit to the registration statement of which this prospectus forms a part.</w:t>
      </w:r>
    </w:p>
    <w:p>
      <w:pPr>
        <w:spacing w:after="0" w:line="1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Constitution contains, among other things, provisions to the following effect:</w:t>
      </w:r>
    </w:p>
    <w:p>
      <w:pPr>
        <w:spacing w:after="0" w:line="2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Share Capital</w:t>
      </w:r>
    </w:p>
    <w:p>
      <w:pPr>
        <w:spacing w:after="0" w:line="109"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The share capital consists of ordinary shares, nominal value $0.025 per share. Our authorized share capital consists of $1,000,000,000 divided into 40,000,000,000 ordinary shares, nominal value $0.025 per share.</w:t>
      </w:r>
    </w:p>
    <w:p>
      <w:pPr>
        <w:spacing w:after="0" w:line="58" w:lineRule="exact"/>
        <w:rPr>
          <w:sz w:val="20"/>
          <w:szCs w:val="20"/>
          <w:color w:val="auto"/>
        </w:rPr>
      </w:pPr>
    </w:p>
    <w:p>
      <w:pPr>
        <w:jc w:val="both"/>
        <w:ind w:left="600" w:right="599" w:firstLine="334"/>
        <w:spacing w:after="0" w:line="248" w:lineRule="auto"/>
        <w:rPr>
          <w:sz w:val="20"/>
          <w:szCs w:val="20"/>
          <w:color w:val="auto"/>
        </w:rPr>
      </w:pPr>
      <w:r>
        <w:rPr>
          <w:rFonts w:ascii="Times New Roman" w:cs="Times New Roman" w:eastAsia="Times New Roman" w:hAnsi="Times New Roman"/>
          <w:sz w:val="17"/>
          <w:szCs w:val="17"/>
          <w:color w:val="auto"/>
        </w:rPr>
        <w:t>We may issue shares subject to the maximum authorized share capital contained in our Constitution. The authorized share capital may be increased or reduced by a simple majority of the votes of the shareholders cast at a general meeting (which is referred to under Irish law as an ordinary resolution). The shares comprising our authorized share capital may be divided into shares of such nominal value as such resolution shall prescribe. As a matter of Irish company law, the directors of a company may issue new ordinary shares without shareholder approval once authorized to do so by the Constitution or by an ordinary resolution adopted by the shareholders at a general meeting. The authorization may be granted for a maximum period of five years, so it must be renewed by the shareholders by an ordinary resolution on or before the expiry of this term (if we wish to issue shares). At our annual general meeting of shareholders in 2025, our shareholders authorized our Board of Directors to allot new ordinary shares up to the amount of our authorized but unissued share capital without shareholder approval for a period of five years, which will expire on July 30, 2030.</w:t>
      </w:r>
    </w:p>
    <w:p>
      <w:pPr>
        <w:spacing w:after="0" w:line="1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rights and restrictions to which the ordinary shares are subject are prescribed in the Constitution.</w:t>
      </w:r>
    </w:p>
    <w:p>
      <w:pPr>
        <w:spacing w:after="0" w:line="105" w:lineRule="exact"/>
        <w:rPr>
          <w:sz w:val="20"/>
          <w:szCs w:val="20"/>
          <w:color w:val="auto"/>
        </w:rPr>
      </w:pPr>
    </w:p>
    <w:p>
      <w:pPr>
        <w:jc w:val="both"/>
        <w:ind w:left="600" w:right="599" w:firstLine="334"/>
        <w:spacing w:after="0" w:line="255" w:lineRule="auto"/>
        <w:rPr>
          <w:sz w:val="20"/>
          <w:szCs w:val="20"/>
          <w:color w:val="auto"/>
        </w:rPr>
      </w:pPr>
      <w:r>
        <w:rPr>
          <w:rFonts w:ascii="Times New Roman" w:cs="Times New Roman" w:eastAsia="Times New Roman" w:hAnsi="Times New Roman"/>
          <w:sz w:val="17"/>
          <w:szCs w:val="17"/>
          <w:color w:val="auto"/>
        </w:rPr>
        <w:t>The holders of our ordinary shares are entitled to one vote for each ordinary share upon all matters presented to our shareholders. Subject to any preferences granted to other classes of our securities that may be outstanding in the future (including any preferred shares that may be created), there are no voting right restrictions or preferences with respect to our shareholders.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117475</wp:posOffset>
            </wp:positionV>
            <wp:extent cx="649732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2" w:name="page13"/>
    <w:bookmarkEnd w:id="12"/>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2"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Irish law does not recognize fractional shares held of record. Accordingly, the Constitution does not provide for the issuance of fractional shares of ours, and our register of members, or the register of members, does not reflect any fractional shares.</w:t>
      </w:r>
    </w:p>
    <w:p>
      <w:pPr>
        <w:spacing w:after="0" w:line="69" w:lineRule="exact"/>
        <w:rPr>
          <w:sz w:val="20"/>
          <w:szCs w:val="20"/>
          <w:color w:val="auto"/>
        </w:rPr>
      </w:pPr>
    </w:p>
    <w:p>
      <w:pPr>
        <w:jc w:val="both"/>
        <w:ind w:left="600" w:right="599" w:firstLine="334"/>
        <w:spacing w:after="0" w:line="276" w:lineRule="auto"/>
        <w:rPr>
          <w:sz w:val="20"/>
          <w:szCs w:val="20"/>
          <w:color w:val="auto"/>
        </w:rPr>
      </w:pPr>
      <w:r>
        <w:rPr>
          <w:rFonts w:ascii="Times New Roman" w:cs="Times New Roman" w:eastAsia="Times New Roman" w:hAnsi="Times New Roman"/>
          <w:sz w:val="16"/>
          <w:szCs w:val="16"/>
          <w:color w:val="auto"/>
        </w:rPr>
        <w:t>Whenever an alteration or reorganization of the share capital of ours would result in any of our shareholders becoming entitled to fractions of a share, our Board of Directors may, on behalf of those shareholders that would become entitled to fractions of a share, arrange for the sale of the shares representing fractions and the distribution of the net proceeds of sale in due proportion among the shareholders who would have been entitled to the fractions.</w:t>
      </w:r>
    </w:p>
    <w:p>
      <w:pPr>
        <w:spacing w:after="0" w:line="1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Voting</w:t>
      </w:r>
    </w:p>
    <w:p>
      <w:pPr>
        <w:spacing w:after="0" w:line="109" w:lineRule="exact"/>
        <w:rPr>
          <w:sz w:val="20"/>
          <w:szCs w:val="20"/>
          <w:color w:val="auto"/>
        </w:rPr>
      </w:pPr>
    </w:p>
    <w:p>
      <w:pPr>
        <w:jc w:val="both"/>
        <w:ind w:left="600" w:right="599" w:firstLine="334"/>
        <w:spacing w:after="0" w:line="255" w:lineRule="auto"/>
        <w:rPr>
          <w:sz w:val="20"/>
          <w:szCs w:val="20"/>
          <w:color w:val="auto"/>
        </w:rPr>
      </w:pPr>
      <w:r>
        <w:rPr>
          <w:rFonts w:ascii="Times New Roman" w:cs="Times New Roman" w:eastAsia="Times New Roman" w:hAnsi="Times New Roman"/>
          <w:sz w:val="17"/>
          <w:szCs w:val="17"/>
          <w:color w:val="auto"/>
        </w:rPr>
        <w:t>All matters, other than those requiring a special resolution, may be approved by a simple majority of the members present (in person or by proxy) at any general meeting. The presence, in person or by proxy, of one or more persons holding or representing by proxy at least 25% of the votes that may be cast by all members constitutes a quorum for the conduct of business.</w:t>
      </w:r>
    </w:p>
    <w:p>
      <w:pPr>
        <w:spacing w:after="0" w:line="1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At any of our meetings, all resolutions put to our shareholders will be decided on a poll.</w:t>
      </w:r>
    </w:p>
    <w:p>
      <w:pPr>
        <w:spacing w:after="0" w:line="105" w:lineRule="exact"/>
        <w:rPr>
          <w:sz w:val="20"/>
          <w:szCs w:val="20"/>
          <w:color w:val="auto"/>
        </w:rPr>
      </w:pPr>
    </w:p>
    <w:p>
      <w:pPr>
        <w:jc w:val="both"/>
        <w:ind w:left="600" w:right="619" w:firstLine="334"/>
        <w:spacing w:after="0" w:line="259" w:lineRule="auto"/>
        <w:rPr>
          <w:sz w:val="20"/>
          <w:szCs w:val="20"/>
          <w:color w:val="auto"/>
        </w:rPr>
      </w:pPr>
      <w:r>
        <w:rPr>
          <w:rFonts w:ascii="Times New Roman" w:cs="Times New Roman" w:eastAsia="Times New Roman" w:hAnsi="Times New Roman"/>
          <w:sz w:val="17"/>
          <w:szCs w:val="17"/>
          <w:color w:val="auto"/>
        </w:rPr>
        <w:t>Irish company law requires certain matters to be approved by not less than 75% of the votes cast at a general meeting of our shareholders (which is referred to under Irish law as a special resolution). Examples of matters requiring special resolutions include:</w:t>
      </w:r>
    </w:p>
    <w:p>
      <w:pPr>
        <w:spacing w:after="0" w:line="69" w:lineRule="exact"/>
        <w:rPr>
          <w:sz w:val="20"/>
          <w:szCs w:val="20"/>
          <w:color w:val="auto"/>
        </w:rPr>
      </w:pPr>
    </w:p>
    <w:p>
      <w:pPr>
        <w:ind w:left="1260" w:hanging="334"/>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amending the Constitution;</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a change of name of GH Research PLC;</w:t>
      </w:r>
    </w:p>
    <w:p>
      <w:pPr>
        <w:spacing w:after="0" w:line="105" w:lineRule="exact"/>
        <w:rPr>
          <w:rFonts w:ascii="Times New Roman" w:cs="Times New Roman" w:eastAsia="Times New Roman" w:hAnsi="Times New Roman"/>
          <w:sz w:val="17"/>
          <w:szCs w:val="17"/>
          <w:color w:val="auto"/>
        </w:rPr>
      </w:pPr>
    </w:p>
    <w:p>
      <w:pPr>
        <w:ind w:left="1260" w:right="619" w:hanging="334"/>
        <w:spacing w:after="0" w:line="272" w:lineRule="auto"/>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authorizing the entering into of a guarantee or provision of security in connection with a loan, quasi-loan or credit transaction to a director or connected person;</w:t>
      </w:r>
    </w:p>
    <w:p>
      <w:pPr>
        <w:spacing w:after="0" w:line="58"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opting out of preemption rights on the issuance of new shares for cash;</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re-registration from a public limited company to a private company;</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 of class rights attaching to classes of shares (where the Constitution does not provide otherwise);</w:t>
      </w:r>
    </w:p>
    <w:p>
      <w:pPr>
        <w:spacing w:after="0" w:line="116" w:lineRule="exact"/>
        <w:rPr>
          <w:rFonts w:ascii="Times New Roman" w:cs="Times New Roman" w:eastAsia="Times New Roman" w:hAnsi="Times New Roman"/>
          <w:sz w:val="16"/>
          <w:szCs w:val="16"/>
          <w:color w:val="auto"/>
        </w:rPr>
      </w:pPr>
    </w:p>
    <w:p>
      <w:pPr>
        <w:ind w:left="1260" w:hanging="334"/>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of our shares off-market;</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 of issued share capital;</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sanctioning a compromise/scheme of arrangement;</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resolving that we be wound up by the Irish courts;</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resolving in favor of a shareholders’ voluntary winding up;</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re-designation of shares into different share classes; and</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setting the reissue price of treasury shares.</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Variation of Rights</w:t>
      </w:r>
    </w:p>
    <w:p>
      <w:pPr>
        <w:spacing w:after="0" w:line="109" w:lineRule="exact"/>
        <w:rPr>
          <w:sz w:val="20"/>
          <w:szCs w:val="20"/>
          <w:color w:val="auto"/>
        </w:rPr>
      </w:pPr>
    </w:p>
    <w:p>
      <w:pPr>
        <w:jc w:val="both"/>
        <w:ind w:left="600" w:right="599" w:firstLine="334"/>
        <w:spacing w:after="0" w:line="249" w:lineRule="auto"/>
        <w:rPr>
          <w:sz w:val="20"/>
          <w:szCs w:val="20"/>
          <w:color w:val="auto"/>
        </w:rPr>
      </w:pPr>
      <w:r>
        <w:rPr>
          <w:rFonts w:ascii="Times New Roman" w:cs="Times New Roman" w:eastAsia="Times New Roman" w:hAnsi="Times New Roman"/>
          <w:sz w:val="17"/>
          <w:szCs w:val="17"/>
          <w:color w:val="auto"/>
        </w:rPr>
        <w:t>Where our shares are divided into different classes, the rights attaching to a class of shares may only be varied or abrogated if (a) the holders of 75% in nominal value of the issued shares of that class consent in writing to the variation, or (b) a special resolution, passed at a separate general meeting of the holders of that class, sanctions the variation. The quorum at any such separate general meeting, other than an adjourned meeting, shall be one person holding or representing by proxy at least a majority in nominal value of the issued shares of the class in question and the quorum at an adjourned meeting shall be one person holding or representing by proxy shares of the class in question or that person’s proxy. The rights conferred upon the holders of any class of shares issued with preferred or other rights shall not, unless otherwise expressly provided by the terms of issue of the shares of that class, be deemed to be varied by a purchase or redemption by us of our own shares or by the creation or issue of further shares ranking pari passu therewith or subordinate thereto.</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109" w:lineRule="exact"/>
        <w:rPr>
          <w:sz w:val="20"/>
          <w:szCs w:val="20"/>
          <w:color w:val="auto"/>
        </w:rPr>
      </w:pPr>
    </w:p>
    <w:p>
      <w:pPr>
        <w:jc w:val="both"/>
        <w:ind w:left="600" w:right="599" w:firstLine="334"/>
        <w:spacing w:after="0" w:line="283" w:lineRule="auto"/>
        <w:rPr>
          <w:sz w:val="20"/>
          <w:szCs w:val="20"/>
          <w:color w:val="auto"/>
        </w:rPr>
      </w:pPr>
      <w:r>
        <w:rPr>
          <w:rFonts w:ascii="Times New Roman" w:cs="Times New Roman" w:eastAsia="Times New Roman" w:hAnsi="Times New Roman"/>
          <w:sz w:val="16"/>
          <w:szCs w:val="16"/>
          <w:color w:val="auto"/>
        </w:rPr>
        <w:t>Under Irish law, dividends and distributions may only be made from distributable profits. Distributable profits, broadly, means the accumulated realized profits of a company, less accumulated realized losses of the company on a standalone basis. In addition, no dividend or distribution may be made unless the net assets of the company are not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117475</wp:posOffset>
            </wp:positionV>
            <wp:extent cx="649732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3" w:name="page14"/>
    <w:bookmarkEnd w:id="13"/>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2" w:lineRule="exact"/>
        <w:rPr>
          <w:sz w:val="20"/>
          <w:szCs w:val="20"/>
          <w:color w:val="auto"/>
        </w:rPr>
      </w:pPr>
    </w:p>
    <w:p>
      <w:pPr>
        <w:jc w:val="both"/>
        <w:ind w:left="600" w:right="599"/>
        <w:spacing w:after="0" w:line="248" w:lineRule="auto"/>
        <w:rPr>
          <w:sz w:val="20"/>
          <w:szCs w:val="20"/>
          <w:color w:val="auto"/>
        </w:rPr>
      </w:pPr>
      <w:r>
        <w:rPr>
          <w:rFonts w:ascii="Times New Roman" w:cs="Times New Roman" w:eastAsia="Times New Roman" w:hAnsi="Times New Roman"/>
          <w:sz w:val="17"/>
          <w:szCs w:val="17"/>
          <w:color w:val="auto"/>
        </w:rPr>
        <w:t>less than the aggregate of the company’s called up share capital plus undistributable reserves and the distribution does not reduce the company’s net assets below such aggregate. Undistributable reserves include a company’s undenominated capital (effectively its share premium and capital redemption reserve) and the amount by which the company’s accumulated unrealized profits, so far as not previously utilized by any capitalization, exceed the company’s accumulated unrealized losses, so far as not previously written off in a reduction or reorganization of capital. The determination as to whether or not the company has sufficient distributable profits to fund a dividend must be made by reference to “relevant financial statements” of the company. The “relevant financial statements” are either the last set of unconsolidated annual audited financial statements or unaudited unconsolidated financial statements prepared in accordance with the Irish Companies Act, which give a “true and fair view” of the company’s unconsolidated financial position in accordance with accepted accounting practice in Ireland. These “relevant financial statements” must be filed in the Companies Registration Office (the official public registry for companies in Ireland).</w:t>
      </w:r>
    </w:p>
    <w:p>
      <w:pPr>
        <w:spacing w:after="0" w:line="84" w:lineRule="exact"/>
        <w:rPr>
          <w:sz w:val="20"/>
          <w:szCs w:val="20"/>
          <w:color w:val="auto"/>
        </w:rPr>
      </w:pPr>
    </w:p>
    <w:p>
      <w:pPr>
        <w:jc w:val="both"/>
        <w:ind w:left="600" w:right="599" w:firstLine="334"/>
        <w:spacing w:after="0" w:line="252" w:lineRule="auto"/>
        <w:rPr>
          <w:sz w:val="20"/>
          <w:szCs w:val="20"/>
          <w:color w:val="auto"/>
        </w:rPr>
      </w:pPr>
      <w:r>
        <w:rPr>
          <w:rFonts w:ascii="Times New Roman" w:cs="Times New Roman" w:eastAsia="Times New Roman" w:hAnsi="Times New Roman"/>
          <w:sz w:val="17"/>
          <w:szCs w:val="17"/>
          <w:color w:val="auto"/>
        </w:rPr>
        <w:t>The Constitution authorizes the Board to declare such interim dividends as appear justified from the profits of the company without the approval of the shareholders. The dividends can be declared and paid in the form of cash or non-cash assets, subject to applicable law. We may pay dividends in any currency. The Board may deduct from any dividend or other moneys payable to any shareholder all sums of money, if any, due from the shareholder to the company in respect of our ordinary shares.</w:t>
      </w:r>
    </w:p>
    <w:p>
      <w:pPr>
        <w:spacing w:after="0" w:line="77"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We may, by ordinary resolution, declare final dividends to be paid to our shareholders. However, no dividend shall exceed the amount recommended by the Board of Directors. The Board of Directors may also pay to the shareholders such dividends as interim or final dividends as appear to the directors to be justified by our profits.</w:t>
      </w:r>
    </w:p>
    <w:p>
      <w:pPr>
        <w:spacing w:after="0" w:line="69"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We have never declared or paid any cash dividend, and do not anticipate declaring or paying any cash dividends in the foreseeable future. We intend to retain all available funds and any future earnings to fund the development and expansion of our business. See the section in our annual report on Form 20-F for the year ended December 31, 2025 titled “Item 3. Key Information—D. Risk Factors—Risks Related to the Ownership of Our Ordinary Shares.” Because there is no present intention to pay dividends on our ordinary shares for the foreseeable future, capital appreciation, if any, will be a shareholder’s sole source of gains and such shareholder may never receive a return on the shareholder’s investment.</w:t>
      </w:r>
    </w:p>
    <w:p>
      <w:pPr>
        <w:spacing w:after="0" w:line="79"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For information about the Irish tax considerations relating to dividend payments, see the section in our most recent annual report on Form 20-F titled “Item 10. Additional Information—E. Taxation.”</w:t>
      </w:r>
    </w:p>
    <w:p>
      <w:pPr>
        <w:spacing w:after="0" w:line="2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Liquidation</w:t>
      </w:r>
    </w:p>
    <w:p>
      <w:pPr>
        <w:spacing w:after="0" w:line="109" w:lineRule="exact"/>
        <w:rPr>
          <w:sz w:val="20"/>
          <w:szCs w:val="20"/>
          <w:color w:val="auto"/>
        </w:rPr>
      </w:pPr>
    </w:p>
    <w:p>
      <w:pPr>
        <w:jc w:val="both"/>
        <w:ind w:left="600" w:right="599" w:firstLine="334"/>
        <w:spacing w:after="0" w:line="252" w:lineRule="auto"/>
        <w:rPr>
          <w:sz w:val="20"/>
          <w:szCs w:val="20"/>
          <w:color w:val="auto"/>
        </w:rPr>
      </w:pPr>
      <w:r>
        <w:rPr>
          <w:rFonts w:ascii="Times New Roman" w:cs="Times New Roman" w:eastAsia="Times New Roman" w:hAnsi="Times New Roman"/>
          <w:sz w:val="17"/>
          <w:szCs w:val="17"/>
          <w:color w:val="auto"/>
        </w:rPr>
        <w:t>Our duration will be unlimited. We may be dissolved and wound up at any time by way of a shareholders’ voluntary winding up or a creditors’ winding up. In the case of a shareholders’ voluntary winding up, a special resolution of the shareholders is required. We may also be dissolved by way of court order on the application of a creditor, or by the Companies Registration Office as an enforcement measure in circumstances where we fail to file certain returns.</w:t>
      </w:r>
    </w:p>
    <w:p>
      <w:pPr>
        <w:spacing w:after="0" w:line="77" w:lineRule="exact"/>
        <w:rPr>
          <w:sz w:val="20"/>
          <w:szCs w:val="20"/>
          <w:color w:val="auto"/>
        </w:rPr>
      </w:pPr>
    </w:p>
    <w:p>
      <w:pPr>
        <w:jc w:val="both"/>
        <w:ind w:left="600" w:right="599" w:firstLine="334"/>
        <w:spacing w:after="0" w:line="267" w:lineRule="auto"/>
        <w:rPr>
          <w:sz w:val="20"/>
          <w:szCs w:val="20"/>
          <w:color w:val="auto"/>
        </w:rPr>
      </w:pPr>
      <w:r>
        <w:rPr>
          <w:rFonts w:ascii="Times New Roman" w:cs="Times New Roman" w:eastAsia="Times New Roman" w:hAnsi="Times New Roman"/>
          <w:sz w:val="16"/>
          <w:szCs w:val="16"/>
          <w:color w:val="auto"/>
        </w:rPr>
        <w:t>The rights of the shareholders to a return of our assets on dissolution or winding up, following the settlement of all claims of creditors, are prescribed in the Constitution and may be further prescribed in the terms of any preferred shares that we create and issue from time to time. In particular, if we have created and issued any preferred shares, holders of such preferred shares may have the right to priority in our dissolution or winding up. The Constitution provides that, subject to the priorities of any creditors, the assets will be distributed to the shareholders in proportion to the paid up nominal value of the shares held by such shareholder. The Constitution provides that the shareholders are entitled to participate pro rata in a winding up, but their right to do so is subject to the rights of any holders of the shares issued upon special terms and conditions to participate under the terms of any series or class of such shares.</w:t>
      </w:r>
    </w:p>
    <w:p>
      <w:pPr>
        <w:spacing w:after="0" w:line="2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Preemption Rights</w:t>
      </w:r>
    </w:p>
    <w:p>
      <w:pPr>
        <w:spacing w:after="0" w:line="109" w:lineRule="exact"/>
        <w:rPr>
          <w:sz w:val="20"/>
          <w:szCs w:val="20"/>
          <w:color w:val="auto"/>
        </w:rPr>
      </w:pPr>
    </w:p>
    <w:p>
      <w:pPr>
        <w:jc w:val="both"/>
        <w:ind w:left="600" w:right="599" w:firstLine="334"/>
        <w:spacing w:after="0" w:line="252" w:lineRule="auto"/>
        <w:rPr>
          <w:sz w:val="20"/>
          <w:szCs w:val="20"/>
          <w:color w:val="auto"/>
        </w:rPr>
      </w:pPr>
      <w:r>
        <w:rPr>
          <w:rFonts w:ascii="Times New Roman" w:cs="Times New Roman" w:eastAsia="Times New Roman" w:hAnsi="Times New Roman"/>
          <w:sz w:val="17"/>
          <w:szCs w:val="17"/>
          <w:color w:val="auto"/>
        </w:rPr>
        <w:t>Under Irish law, certain statutory preemption rights apply automatically in favor of shareholders where shares are to be issued for cash. However, as permitted by Irish law, we have opted out of these preemption rights by way of special resolution (a “special resolution” requires the approval of not less than 75% of the votes of our shareholders cast at a general meeting at which a quorum is present) passed at our annual general meeting on July 31, 2025. Generally, this opt-out is required to be renewed at least every five years by a special resolution of our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117475</wp:posOffset>
            </wp:positionV>
            <wp:extent cx="649732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4" w:name="page15"/>
    <w:bookmarkEnd w:id="1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2" w:lineRule="exact"/>
        <w:rPr>
          <w:sz w:val="20"/>
          <w:szCs w:val="20"/>
          <w:color w:val="auto"/>
        </w:rPr>
      </w:pPr>
    </w:p>
    <w:p>
      <w:pPr>
        <w:jc w:val="both"/>
        <w:ind w:left="600" w:right="599"/>
        <w:spacing w:after="0" w:line="250" w:lineRule="auto"/>
        <w:rPr>
          <w:sz w:val="20"/>
          <w:szCs w:val="20"/>
          <w:color w:val="auto"/>
        </w:rPr>
      </w:pPr>
      <w:r>
        <w:rPr>
          <w:rFonts w:ascii="Times New Roman" w:cs="Times New Roman" w:eastAsia="Times New Roman" w:hAnsi="Times New Roman"/>
          <w:sz w:val="17"/>
          <w:szCs w:val="17"/>
          <w:color w:val="auto"/>
        </w:rPr>
        <w:t>shareholders. As a result, our shareholders must renew this opt-out authorization by a special resolution no later than July 30, 2030. If the opt-out is not renewed, as a general rule, shares issued for cash must be offered to our existing shareholders on a pro rata basis to their existing shareholding before any of our shares may be issued to any new shareholders. Statutory preemption rights do not apply (i) where shares are issued wholly or partly for non-cash consideration (such as in a stock-for-stock acquisition), (ii) to the issue of non-equity shares (that is, shares that have the right to participate only up to a specified amount in any income or capital distribution) or (iii) where shares are issued pursuant to an employee option or similar equity plan.</w:t>
      </w:r>
    </w:p>
    <w:p>
      <w:pPr>
        <w:spacing w:after="0" w:line="2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Alteration of Share Capital</w:t>
      </w:r>
    </w:p>
    <w:p>
      <w:pPr>
        <w:spacing w:after="0" w:line="109"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Under our Constitution, we may, by ordinary resolution, divide any or all of our share capital into shares of a smaller nominal value than our existing shares (often referred to as a share split) or consolidate any or all of our share capital into shares of larger nominal value than our existing shares (often referred to as a reverse share split).</w:t>
      </w:r>
    </w:p>
    <w:p>
      <w:pPr>
        <w:spacing w:after="0" w:line="69"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We may, by ordinary resolution, reduce the authorized but unissued share capital. We may, by special resolution and subject to confirmation by the Irish High Court, reduce the issued share capital and any undenominated share capital.</w:t>
      </w:r>
    </w:p>
    <w:p>
      <w:pPr>
        <w:spacing w:after="0" w:line="2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Appointment of Directors</w:t>
      </w:r>
    </w:p>
    <w:p>
      <w:pPr>
        <w:spacing w:after="0" w:line="109" w:lineRule="exact"/>
        <w:rPr>
          <w:sz w:val="20"/>
          <w:szCs w:val="20"/>
          <w:color w:val="auto"/>
        </w:rPr>
      </w:pPr>
    </w:p>
    <w:p>
      <w:pPr>
        <w:jc w:val="both"/>
        <w:ind w:left="600" w:right="599" w:firstLine="334"/>
        <w:spacing w:after="0" w:line="255" w:lineRule="auto"/>
        <w:rPr>
          <w:sz w:val="20"/>
          <w:szCs w:val="20"/>
          <w:color w:val="auto"/>
        </w:rPr>
      </w:pPr>
      <w:r>
        <w:rPr>
          <w:rFonts w:ascii="Times New Roman" w:cs="Times New Roman" w:eastAsia="Times New Roman" w:hAnsi="Times New Roman"/>
          <w:sz w:val="17"/>
          <w:szCs w:val="17"/>
          <w:color w:val="auto"/>
        </w:rPr>
        <w:t>The Constitution provides for a minimum of two directors and a maximum of nine directors. Our shareholders may from time to time increase or reduce the maximum number, or increase the minimum number, of directors by ordinary resolution. Our Board of Directors determines the number of directors within the range of two to nine. Our Constitution does not require directors to retire on account of age.</w:t>
      </w:r>
    </w:p>
    <w:p>
      <w:pPr>
        <w:spacing w:after="0" w:line="2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Proceedings of Directors</w:t>
      </w:r>
    </w:p>
    <w:p>
      <w:pPr>
        <w:spacing w:after="0" w:line="109"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Subject to the provisions of our Constitution, our Board of Directors may regulate their proceedings as they deem appropriate. A director may, and the secretary at the request of a director shall, call a meeting of the directors. The quorum for a meeting of our Board of Directors shall be fixed from time to time by decision of the Board of Directors, but it must never be fewer than two directors (or duly appointed alternate directors). Questions and matters requiring resolution arising at a meeting shall be decided by a majority of votes of the participating directors, with each director having one vote. In the case of an equality of votes, the chairperson will have a second or casting vote (unless the chairperson is not entitled to vote on the resolution in question).</w:t>
      </w:r>
    </w:p>
    <w:p>
      <w:pPr>
        <w:spacing w:after="0" w:line="2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Conflicts of Interest</w:t>
      </w:r>
    </w:p>
    <w:p>
      <w:pPr>
        <w:spacing w:after="0" w:line="109" w:lineRule="exact"/>
        <w:rPr>
          <w:sz w:val="20"/>
          <w:szCs w:val="20"/>
          <w:color w:val="auto"/>
        </w:rPr>
      </w:pPr>
    </w:p>
    <w:p>
      <w:pPr>
        <w:jc w:val="both"/>
        <w:ind w:left="600" w:right="599" w:firstLine="334"/>
        <w:spacing w:after="0" w:line="272" w:lineRule="auto"/>
        <w:rPr>
          <w:sz w:val="20"/>
          <w:szCs w:val="20"/>
          <w:color w:val="auto"/>
        </w:rPr>
      </w:pPr>
      <w:r>
        <w:rPr>
          <w:rFonts w:ascii="Times New Roman" w:cs="Times New Roman" w:eastAsia="Times New Roman" w:hAnsi="Times New Roman"/>
          <w:sz w:val="16"/>
          <w:szCs w:val="16"/>
          <w:color w:val="auto"/>
        </w:rPr>
        <w:t>Our directors have certain statutory and fiduciary duties as a matter of Irish law. All of the directors have equal and overall responsibility for management of our company (although directors who also serve as employees may have additional responsibilities and duties arising under their employment agreements (if applicable), and it is likely that more will be expected of them in compliance with their duties than non-executive directors). The Irish Companies Act provides specifically for certain fiduciary duties of the directors of Irish companies, including duties:</w:t>
      </w:r>
    </w:p>
    <w:p>
      <w:pPr>
        <w:spacing w:after="0" w:line="61" w:lineRule="exact"/>
        <w:rPr>
          <w:sz w:val="20"/>
          <w:szCs w:val="20"/>
          <w:color w:val="auto"/>
        </w:rPr>
      </w:pPr>
    </w:p>
    <w:p>
      <w:pPr>
        <w:ind w:left="1260" w:hanging="334"/>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act in good faith and in the best interests of the company;</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act honestly and responsibly in relation to the company’s affairs;</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act in accordance with the company’s constitution and to exercise powers only for lawful purposes;</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to misuse the company’s property, information and/or opportunity;</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to fetter their independent judgment;</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avoid conflicts of interest;</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exercise care, skill and diligence; and</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have regard for the interests of the company’s shareholders.</w:t>
      </w:r>
    </w:p>
    <w:p>
      <w:pPr>
        <w:spacing w:after="0" w:line="105" w:lineRule="exact"/>
        <w:rPr>
          <w:sz w:val="20"/>
          <w:szCs w:val="20"/>
          <w:color w:val="auto"/>
        </w:rPr>
      </w:pPr>
    </w:p>
    <w:p>
      <w:pPr>
        <w:jc w:val="both"/>
        <w:ind w:left="600" w:right="599" w:firstLine="334"/>
        <w:spacing w:after="0" w:line="283" w:lineRule="auto"/>
        <w:rPr>
          <w:sz w:val="20"/>
          <w:szCs w:val="20"/>
          <w:color w:val="auto"/>
        </w:rPr>
      </w:pPr>
      <w:r>
        <w:rPr>
          <w:rFonts w:ascii="Times New Roman" w:cs="Times New Roman" w:eastAsia="Times New Roman" w:hAnsi="Times New Roman"/>
          <w:sz w:val="16"/>
          <w:szCs w:val="16"/>
          <w:color w:val="auto"/>
        </w:rPr>
        <w:t>Other statutory duties of directors include ensuring the maintenance of proper books of account, having annual accounts prepared, having an annual audit performed, maintaining certain registers, making certain filings and disclosing personal interests. Directors of public limited companies such as ourselves will have a specific duty to</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117475</wp:posOffset>
            </wp:positionV>
            <wp:extent cx="649732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5" w:name="page16"/>
    <w:bookmarkEnd w:id="1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2" w:lineRule="exact"/>
        <w:rPr>
          <w:sz w:val="20"/>
          <w:szCs w:val="20"/>
          <w:color w:val="auto"/>
        </w:rPr>
      </w:pPr>
    </w:p>
    <w:p>
      <w:pPr>
        <w:jc w:val="both"/>
        <w:ind w:left="600" w:right="599"/>
        <w:spacing w:after="0" w:line="250" w:lineRule="auto"/>
        <w:rPr>
          <w:sz w:val="20"/>
          <w:szCs w:val="20"/>
          <w:color w:val="auto"/>
        </w:rPr>
      </w:pPr>
      <w:r>
        <w:rPr>
          <w:rFonts w:ascii="Times New Roman" w:cs="Times New Roman" w:eastAsia="Times New Roman" w:hAnsi="Times New Roman"/>
          <w:sz w:val="17"/>
          <w:szCs w:val="17"/>
          <w:color w:val="auto"/>
        </w:rPr>
        <w:t>ensure that the company secretary is a person with the requisite knowledge and experience to discharge the role. Directors may rely on information, opinions, reports or statements, including financial statements and other financial data, prepared or presented by (1) other directors, officers or employees of the company whom the director reasonably believes to be reliable and competent in the matters prepared or presented, (2) legal counsel, public accountants or other persons as to matters the director reasonably believes to be within their professional or expert competence or (3) a committee of the board of which the director does not serve as to matters within its designated authority, which committee the director reasonably believes to merit confidence.</w:t>
      </w:r>
    </w:p>
    <w:p>
      <w:pPr>
        <w:spacing w:after="0" w:line="79" w:lineRule="exact"/>
        <w:rPr>
          <w:sz w:val="20"/>
          <w:szCs w:val="20"/>
          <w:color w:val="auto"/>
        </w:rPr>
      </w:pPr>
    </w:p>
    <w:p>
      <w:pPr>
        <w:jc w:val="both"/>
        <w:ind w:left="600" w:right="619" w:firstLine="334"/>
        <w:spacing w:after="0" w:line="255" w:lineRule="auto"/>
        <w:rPr>
          <w:sz w:val="20"/>
          <w:szCs w:val="20"/>
          <w:color w:val="auto"/>
        </w:rPr>
      </w:pPr>
      <w:r>
        <w:rPr>
          <w:rFonts w:ascii="Times New Roman" w:cs="Times New Roman" w:eastAsia="Times New Roman" w:hAnsi="Times New Roman"/>
          <w:sz w:val="17"/>
          <w:szCs w:val="17"/>
          <w:color w:val="auto"/>
        </w:rPr>
        <w:t>Our Constitution provides that a director shall generally not vote at a meeting of the directors or a committee of directors on any resolution concerning a matter in which he or she has, directly or indirectly or together with any person or persons connected with him or her an interest which is material or a duty which conflicts or may conflict with the interests of the Company.</w:t>
      </w:r>
    </w:p>
    <w:p>
      <w:pPr>
        <w:spacing w:after="0" w:line="2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Directors’ and Officers’ Indemnity</w:t>
      </w:r>
    </w:p>
    <w:p>
      <w:pPr>
        <w:spacing w:after="0" w:line="109" w:lineRule="exact"/>
        <w:rPr>
          <w:sz w:val="20"/>
          <w:szCs w:val="20"/>
          <w:color w:val="auto"/>
        </w:rPr>
      </w:pPr>
    </w:p>
    <w:p>
      <w:pPr>
        <w:jc w:val="both"/>
        <w:ind w:left="600" w:right="599" w:firstLine="334"/>
        <w:spacing w:after="0" w:line="265" w:lineRule="auto"/>
        <w:rPr>
          <w:sz w:val="20"/>
          <w:szCs w:val="20"/>
          <w:color w:val="auto"/>
        </w:rPr>
      </w:pPr>
      <w:r>
        <w:rPr>
          <w:rFonts w:ascii="Times New Roman" w:cs="Times New Roman" w:eastAsia="Times New Roman" w:hAnsi="Times New Roman"/>
          <w:sz w:val="16"/>
          <w:szCs w:val="16"/>
          <w:color w:val="auto"/>
        </w:rPr>
        <w:t>To the fullest extent permitted by Irish law, the Constitution contains indemnification for the benefit of, amongst others, our directors, company secretary and executive officers. However, as to our directors and company secretary, this indemnity is limited by the Irish Companies Act, which prescribes that an advance commitment to indemnify only permits a company to pay the costs or discharge the liability of a director or company secretary where judgment is given in favor of the director or company secretary in any civil or criminal action in respect of such costs or liability, or where an Irish court grants relief because the director or company secretary acted honestly and reasonably and ought fairly to be excused. Any provision whereby an Irish company seeks to commit in advance to indemnify its directors or company secretary over and above the limitations imposed by the Irish Companies Act will be void, whether contained in the company’s constitution or any contract between the company and the director or company secretary. This restriction does not apply to our executive officers who are not directors, or other persons who would not be considered “officers” within the meaning of the Irish Companies Act.</w:t>
      </w:r>
    </w:p>
    <w:p>
      <w:pPr>
        <w:spacing w:after="0" w:line="72"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Our Constitution also contains indemnification and expense advancement provisions for persons who are not directors or our corporate secretary.</w:t>
      </w:r>
    </w:p>
    <w:p>
      <w:pPr>
        <w:spacing w:after="0" w:line="58" w:lineRule="exact"/>
        <w:rPr>
          <w:sz w:val="20"/>
          <w:szCs w:val="20"/>
          <w:color w:val="auto"/>
        </w:rPr>
      </w:pPr>
    </w:p>
    <w:p>
      <w:pPr>
        <w:jc w:val="both"/>
        <w:ind w:left="600" w:right="599" w:firstLine="334"/>
        <w:spacing w:after="0" w:line="255" w:lineRule="auto"/>
        <w:rPr>
          <w:sz w:val="20"/>
          <w:szCs w:val="20"/>
          <w:color w:val="auto"/>
        </w:rPr>
      </w:pPr>
      <w:r>
        <w:rPr>
          <w:rFonts w:ascii="Times New Roman" w:cs="Times New Roman" w:eastAsia="Times New Roman" w:hAnsi="Times New Roman"/>
          <w:sz w:val="17"/>
          <w:szCs w:val="17"/>
          <w:color w:val="auto"/>
        </w:rPr>
        <w:t>We are permitted under the Constitution and the Irish Companies Act to take out directors’ and officers’ liability insurance, as well as other types of insurance, for our directors, officers, employees and agents. In order to attract and retain qualified directors and officers, we maintain customary directors’ and officers’ liability insurance and other types of comparable insurance.</w:t>
      </w:r>
    </w:p>
    <w:p>
      <w:pPr>
        <w:spacing w:after="0" w:line="2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General Meetings</w:t>
      </w:r>
    </w:p>
    <w:p>
      <w:pPr>
        <w:spacing w:after="0" w:line="109"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We are required to hold an annual general meeting in each calendar year within nine months of our fiscal year-end and with no more than 15 months elapsing between annual general meetings.</w:t>
      </w:r>
    </w:p>
    <w:p>
      <w:pPr>
        <w:spacing w:after="0" w:line="58"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Notice of an annual general meeting must be given to all of our shareholders and to our auditors. The Constitution provides for a minimum notice period for an annual general meeting of 21 clear days, which is the minimum permitted under Irish law.</w:t>
      </w:r>
    </w:p>
    <w:p>
      <w:pPr>
        <w:spacing w:after="0" w:line="69"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Generally speaking, the only matters which must, as a matter of Irish company law, be transacted at an annual general meeting are the presentation of the annual statutory financial statements, balance sheet and reports of the directors and auditors, the appointment of new auditors and the fixing of the auditor’s remuneration (or delegation of same). If no resolution is made in respect of the reappointment of an existing auditor at an annual general meeting, the existing auditor will be deemed to have continued in office. Where the constitution of a company so provides, as our Constitution does, additional matters may be required to be transacted such as the election and re-election of directors.</w:t>
      </w:r>
    </w:p>
    <w:p>
      <w:pPr>
        <w:spacing w:after="0" w:line="7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As provided under Irish law, extraordinary general meetings may be convened (i) by our Board of Directors,</w:t>
      </w:r>
    </w:p>
    <w:p>
      <w:pPr>
        <w:spacing w:after="0" w:line="21" w:lineRule="exact"/>
        <w:rPr>
          <w:sz w:val="20"/>
          <w:szCs w:val="20"/>
          <w:color w:val="auto"/>
        </w:rPr>
      </w:pPr>
    </w:p>
    <w:p>
      <w:pPr>
        <w:jc w:val="both"/>
        <w:ind w:left="600" w:right="619" w:hanging="8"/>
        <w:spacing w:after="0" w:line="261" w:lineRule="auto"/>
        <w:tabs>
          <w:tab w:leader="none" w:pos="85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request of our shareholders holding not less than 10% of our paid up share capital carrying voting rights for so long as our shares are not admitted to trading on a regulated market in any member state of the European Union,</w:t>
      </w:r>
    </w:p>
    <w:p>
      <w:pPr>
        <w:spacing w:after="0" w:line="1" w:lineRule="exact"/>
        <w:rPr>
          <w:rFonts w:ascii="Times New Roman" w:cs="Times New Roman" w:eastAsia="Times New Roman" w:hAnsi="Times New Roman"/>
          <w:sz w:val="16"/>
          <w:szCs w:val="16"/>
          <w:color w:val="auto"/>
        </w:rPr>
      </w:pPr>
    </w:p>
    <w:p>
      <w:pPr>
        <w:ind w:left="880" w:hanging="288"/>
        <w:spacing w:after="0"/>
        <w:tabs>
          <w:tab w:leader="none" w:pos="8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request of our statutory auditor in connection with its resignation or (iv) in exceptional cases, by court order.</w:t>
      </w:r>
    </w:p>
    <w:p>
      <w:pPr>
        <w:spacing w:after="0" w:line="101" w:lineRule="exact"/>
        <w:rPr>
          <w:sz w:val="20"/>
          <w:szCs w:val="20"/>
          <w:color w:val="auto"/>
        </w:rPr>
      </w:pPr>
    </w:p>
    <w:p>
      <w:pPr>
        <w:jc w:val="both"/>
        <w:ind w:left="600" w:right="619" w:firstLine="334"/>
        <w:spacing w:after="0" w:line="283" w:lineRule="auto"/>
        <w:rPr>
          <w:sz w:val="20"/>
          <w:szCs w:val="20"/>
          <w:color w:val="auto"/>
        </w:rPr>
      </w:pPr>
      <w:r>
        <w:rPr>
          <w:rFonts w:ascii="Times New Roman" w:cs="Times New Roman" w:eastAsia="Times New Roman" w:hAnsi="Times New Roman"/>
          <w:sz w:val="16"/>
          <w:szCs w:val="16"/>
          <w:color w:val="auto"/>
        </w:rPr>
        <w:t>Notice of an extraordinary general meeting must be given to all our shareholders and to our auditors. Under Irish law and the Constitution, the minimum notice period of 21 clear days’ prior written notice applies, except that in the case of an extraordinary general meeting, if the company offers facilities to members to vote by electronic</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117475</wp:posOffset>
            </wp:positionV>
            <wp:extent cx="649732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6" w:name="page17"/>
    <w:bookmarkEnd w:id="16"/>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2" w:lineRule="exact"/>
        <w:rPr>
          <w:sz w:val="20"/>
          <w:szCs w:val="20"/>
          <w:color w:val="auto"/>
        </w:rPr>
      </w:pPr>
    </w:p>
    <w:p>
      <w:pPr>
        <w:jc w:val="both"/>
        <w:ind w:left="600" w:right="599"/>
        <w:spacing w:after="0" w:line="272" w:lineRule="auto"/>
        <w:rPr>
          <w:sz w:val="20"/>
          <w:szCs w:val="20"/>
          <w:color w:val="auto"/>
        </w:rPr>
      </w:pPr>
      <w:r>
        <w:rPr>
          <w:rFonts w:ascii="Times New Roman" w:cs="Times New Roman" w:eastAsia="Times New Roman" w:hAnsi="Times New Roman"/>
          <w:sz w:val="16"/>
          <w:szCs w:val="16"/>
          <w:color w:val="auto"/>
        </w:rPr>
        <w:t>means and shareholders have passed a special resolution at the immediately preceding general meeting approving such shortened notice period, an extraordinary general meeting can be called with 14 clear days’ prior written notice (provided that no special resolutions are proposed to be put to a vote at that meeting). The notice periods prescribed for the convening of general meetings are on the basis of “clear” days, meaning the deemed date of receipt of the notice and the date of the meeting itself are not counted towards the minimum number of days’ notice required.</w:t>
      </w:r>
    </w:p>
    <w:p>
      <w:pPr>
        <w:spacing w:after="0" w:line="61"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In the case of an extraordinary general meeting convened by our shareholders, the proposed purpose of the meeting must be set out in the requisition notice. Upon receipt of any such valid requisition notice, the Board of Directors has 21 days to convene a meeting of our shareholders to vote on the matters set out in the requisition notice. This meeting must be held within two months of the receipt of the requisition notice. If the Board of Directors does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79"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If the Board of Directors becomes aware that our net assets are not greater than half of the amount of our called up share capital, the directors must convene an extraordinary general meeting of shareholders not later than 28 days from the date that they learn of this fact to consider how to address the situation.</w:t>
      </w:r>
    </w:p>
    <w:p>
      <w:pPr>
        <w:spacing w:after="0" w:line="2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Borrowing Powers</w:t>
      </w:r>
    </w:p>
    <w:p>
      <w:pPr>
        <w:spacing w:after="0" w:line="1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Subject to the Constitution and the Irish Companies Act, our Board of Directors may exercise all of our powers</w:t>
      </w:r>
    </w:p>
    <w:p>
      <w:pPr>
        <w:spacing w:after="0" w:line="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w:t>
      </w:r>
    </w:p>
    <w:p>
      <w:pPr>
        <w:spacing w:after="0" w:line="89" w:lineRule="exact"/>
        <w:rPr>
          <w:sz w:val="20"/>
          <w:szCs w:val="20"/>
          <w:color w:val="auto"/>
        </w:rPr>
      </w:pPr>
    </w:p>
    <w:p>
      <w:pPr>
        <w:ind w:left="1260" w:hanging="334"/>
        <w:spacing w:after="0"/>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 money;</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indemnify and guarantee;</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mortgage or charge;</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and issue debentures and other securities; and</w:t>
      </w:r>
    </w:p>
    <w:p>
      <w:pPr>
        <w:spacing w:after="0" w:line="105" w:lineRule="exact"/>
        <w:rPr>
          <w:rFonts w:ascii="Times New Roman" w:cs="Times New Roman" w:eastAsia="Times New Roman" w:hAnsi="Times New Roman"/>
          <w:sz w:val="17"/>
          <w:szCs w:val="17"/>
          <w:color w:val="auto"/>
        </w:rPr>
      </w:pPr>
    </w:p>
    <w:p>
      <w:pPr>
        <w:ind w:left="1260" w:right="599" w:hanging="334"/>
        <w:spacing w:after="0" w:line="272" w:lineRule="auto"/>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 security either outright or as collateral security for any of our debt, liability or obligation or any of a third party.</w:t>
      </w:r>
    </w:p>
    <w:p>
      <w:pPr>
        <w:spacing w:after="0" w:line="2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Uncertificated Shares</w:t>
      </w:r>
    </w:p>
    <w:p>
      <w:pPr>
        <w:spacing w:after="0" w:line="109" w:lineRule="exact"/>
        <w:rPr>
          <w:sz w:val="20"/>
          <w:szCs w:val="20"/>
          <w:color w:val="auto"/>
        </w:rPr>
      </w:pPr>
    </w:p>
    <w:p>
      <w:pPr>
        <w:jc w:val="both"/>
        <w:ind w:left="600" w:right="599" w:firstLine="334"/>
        <w:spacing w:after="0" w:line="255" w:lineRule="auto"/>
        <w:rPr>
          <w:sz w:val="20"/>
          <w:szCs w:val="20"/>
          <w:color w:val="auto"/>
        </w:rPr>
      </w:pPr>
      <w:r>
        <w:rPr>
          <w:rFonts w:ascii="Times New Roman" w:cs="Times New Roman" w:eastAsia="Times New Roman" w:hAnsi="Times New Roman"/>
          <w:sz w:val="17"/>
          <w:szCs w:val="17"/>
          <w:color w:val="auto"/>
        </w:rPr>
        <w:t>Shares in an Irish public limited company such as ours can, in principle, be issued and held either in a so-called certificated (i.e., hard copy share certificates are issued to shareholders) or a so-called uncertificated (i.e., dematerialized) form. All shareholders’ names must be entered into the register of members maintained by an Irish public limited company in order to acquire legal title to the shares.</w:t>
      </w:r>
    </w:p>
    <w:p>
      <w:pPr>
        <w:spacing w:after="0" w:line="72" w:lineRule="exact"/>
        <w:rPr>
          <w:sz w:val="20"/>
          <w:szCs w:val="20"/>
          <w:color w:val="auto"/>
        </w:rPr>
      </w:pPr>
    </w:p>
    <w:p>
      <w:pPr>
        <w:jc w:val="both"/>
        <w:ind w:left="600" w:right="599" w:firstLine="334"/>
        <w:spacing w:after="0" w:line="272" w:lineRule="auto"/>
        <w:rPr>
          <w:sz w:val="20"/>
          <w:szCs w:val="20"/>
          <w:color w:val="auto"/>
        </w:rPr>
      </w:pPr>
      <w:r>
        <w:rPr>
          <w:rFonts w:ascii="Times New Roman" w:cs="Times New Roman" w:eastAsia="Times New Roman" w:hAnsi="Times New Roman"/>
          <w:sz w:val="17"/>
          <w:szCs w:val="17"/>
          <w:color w:val="auto"/>
        </w:rPr>
        <w:t>To make shares in an Irish public limited company deliverable for trading on an exchange, the shares are required to be issued in uncertificated form.</w:t>
      </w:r>
    </w:p>
    <w:p>
      <w:pPr>
        <w:spacing w:after="0" w:line="2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Amendment of Constitution</w:t>
      </w:r>
    </w:p>
    <w:p>
      <w:pPr>
        <w:spacing w:after="0" w:line="109" w:lineRule="exact"/>
        <w:rPr>
          <w:sz w:val="20"/>
          <w:szCs w:val="20"/>
          <w:color w:val="auto"/>
        </w:rPr>
      </w:pPr>
    </w:p>
    <w:p>
      <w:pPr>
        <w:jc w:val="both"/>
        <w:ind w:left="600" w:right="599" w:firstLine="334"/>
        <w:spacing w:after="0" w:line="272" w:lineRule="auto"/>
        <w:rPr>
          <w:sz w:val="20"/>
          <w:szCs w:val="20"/>
          <w:color w:val="auto"/>
        </w:rPr>
      </w:pPr>
      <w:r>
        <w:rPr>
          <w:rFonts w:ascii="Times New Roman" w:cs="Times New Roman" w:eastAsia="Times New Roman" w:hAnsi="Times New Roman"/>
          <w:sz w:val="17"/>
          <w:szCs w:val="17"/>
          <w:color w:val="auto"/>
        </w:rPr>
        <w:t>Irish company law requires a special resolution of our shareholders (approval by not less than 75% of the votes cast at a general meeting of our shareholders) to approve any amendments to the Constitution.</w:t>
      </w:r>
    </w:p>
    <w:p>
      <w:pPr>
        <w:spacing w:after="0" w:line="2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Anti-Takeover Provisions of Irish Law</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Irish Takeover Rules and Substantial Acquisition Rules</w:t>
      </w:r>
    </w:p>
    <w:p>
      <w:pPr>
        <w:spacing w:after="0" w:line="109" w:lineRule="exact"/>
        <w:rPr>
          <w:sz w:val="20"/>
          <w:szCs w:val="20"/>
          <w:color w:val="auto"/>
        </w:rPr>
      </w:pPr>
    </w:p>
    <w:p>
      <w:pPr>
        <w:jc w:val="both"/>
        <w:ind w:left="600" w:right="599" w:firstLine="334"/>
        <w:spacing w:after="0" w:line="252" w:lineRule="auto"/>
        <w:rPr>
          <w:sz w:val="20"/>
          <w:szCs w:val="20"/>
          <w:color w:val="auto"/>
        </w:rPr>
      </w:pPr>
      <w:r>
        <w:rPr>
          <w:rFonts w:ascii="Times New Roman" w:cs="Times New Roman" w:eastAsia="Times New Roman" w:hAnsi="Times New Roman"/>
          <w:sz w:val="17"/>
          <w:szCs w:val="17"/>
          <w:color w:val="auto"/>
        </w:rPr>
        <w:t>A transaction in which a third party seeks to acquire 30% or more of our voting rights and any other acquisitions of our securities will be governed by the Irish Takeover Panel Act 1997 and the Irish Takeover Rules made thereunder, the Irish Takeover Panel Act, 1997, Takeover Rules, 2022, or the Irish Takeover Rules, and will be regulated by the Irish Takeover Panel. The general principles of the Irish Takeover Rules, or the General Principles, and certain important aspects of the Irish Takeover Rules are described below.</w:t>
      </w:r>
    </w:p>
    <w:p>
      <w:pPr>
        <w:spacing w:after="0" w:line="2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General Principles</w:t>
      </w:r>
    </w:p>
    <w:p>
      <w:pPr>
        <w:spacing w:after="0" w:line="109"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The Irish Takeover Rules are built on the following General Principles which will apply to any transaction regulated by the Irish Takeover Panel: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117475</wp:posOffset>
            </wp:positionV>
            <wp:extent cx="649732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7" w:name="page18"/>
    <w:bookmarkEnd w:id="17"/>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2" w:lineRule="exact"/>
        <w:rPr>
          <w:sz w:val="20"/>
          <w:szCs w:val="20"/>
          <w:color w:val="auto"/>
        </w:rPr>
      </w:pPr>
    </w:p>
    <w:p>
      <w:pPr>
        <w:ind w:left="1260" w:right="619" w:hanging="334"/>
        <w:spacing w:after="0" w:line="304" w:lineRule="auto"/>
        <w:tabs>
          <w:tab w:leader="none" w:pos="1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an offer, all holders of securities of the target company must be afforded equivalent treatment and, if a person acquires control of a company, the other holders of securities must be protected;</w:t>
      </w:r>
    </w:p>
    <w:p>
      <w:pPr>
        <w:spacing w:after="0" w:line="35" w:lineRule="exact"/>
        <w:rPr>
          <w:rFonts w:ascii="Times New Roman" w:cs="Times New Roman" w:eastAsia="Times New Roman" w:hAnsi="Times New Roman"/>
          <w:sz w:val="16"/>
          <w:szCs w:val="16"/>
          <w:color w:val="auto"/>
        </w:rPr>
      </w:pPr>
    </w:p>
    <w:p>
      <w:pPr>
        <w:jc w:val="both"/>
        <w:ind w:left="1260" w:right="619" w:hanging="334"/>
        <w:spacing w:after="0" w:line="255" w:lineRule="auto"/>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securities in the target company must have sufficient time and information to enable them to reach a properly informed decision on the offer; where it advises the holders of securities, the board of directors of the target company must give its views on the effects of the implementation of the offer on employment, employment conditions and the locations of the target company’s place of business;</w:t>
      </w:r>
    </w:p>
    <w:p>
      <w:pPr>
        <w:spacing w:after="0" w:line="71" w:lineRule="exact"/>
        <w:rPr>
          <w:rFonts w:ascii="Times New Roman" w:cs="Times New Roman" w:eastAsia="Times New Roman" w:hAnsi="Times New Roman"/>
          <w:sz w:val="17"/>
          <w:szCs w:val="17"/>
          <w:color w:val="auto"/>
        </w:rPr>
      </w:pPr>
    </w:p>
    <w:p>
      <w:pPr>
        <w:ind w:left="1260" w:right="619" w:hanging="334"/>
        <w:spacing w:after="0" w:line="272" w:lineRule="auto"/>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target company’s board of directors must act in the interests of that company as a whole and must not deny the holders of securities the opportunity to decide on the merits of the offer;</w:t>
      </w:r>
    </w:p>
    <w:p>
      <w:pPr>
        <w:spacing w:after="0" w:line="58" w:lineRule="exact"/>
        <w:rPr>
          <w:rFonts w:ascii="Times New Roman" w:cs="Times New Roman" w:eastAsia="Times New Roman" w:hAnsi="Times New Roman"/>
          <w:sz w:val="17"/>
          <w:szCs w:val="17"/>
          <w:color w:val="auto"/>
        </w:rPr>
      </w:pPr>
    </w:p>
    <w:p>
      <w:pPr>
        <w:jc w:val="both"/>
        <w:ind w:left="1260" w:right="619" w:hanging="334"/>
        <w:spacing w:after="0" w:line="259" w:lineRule="auto"/>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false markets must not be created in the securities of the target company, the bidder or any other company concerned by the offer in such a way that the rise or fall of the prices of the securities becomes artificial and the normal functioning of the markets is distorted;</w:t>
      </w:r>
    </w:p>
    <w:p>
      <w:pPr>
        <w:spacing w:after="0" w:line="69" w:lineRule="exact"/>
        <w:rPr>
          <w:rFonts w:ascii="Times New Roman" w:cs="Times New Roman" w:eastAsia="Times New Roman" w:hAnsi="Times New Roman"/>
          <w:sz w:val="17"/>
          <w:szCs w:val="17"/>
          <w:color w:val="auto"/>
        </w:rPr>
      </w:pPr>
    </w:p>
    <w:p>
      <w:pPr>
        <w:jc w:val="both"/>
        <w:ind w:left="1260" w:right="599" w:hanging="334"/>
        <w:spacing w:after="0" w:line="259" w:lineRule="auto"/>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bidder can only announce an offer after ensuring that he or she can fulfill in full the consideration offered, if such is offered, and after taking all reasonable measures to secure the implementation of any other type of consideration;</w:t>
      </w:r>
    </w:p>
    <w:p>
      <w:pPr>
        <w:spacing w:after="0" w:line="69" w:lineRule="exact"/>
        <w:rPr>
          <w:rFonts w:ascii="Times New Roman" w:cs="Times New Roman" w:eastAsia="Times New Roman" w:hAnsi="Times New Roman"/>
          <w:sz w:val="17"/>
          <w:szCs w:val="17"/>
          <w:color w:val="auto"/>
        </w:rPr>
      </w:pPr>
    </w:p>
    <w:p>
      <w:pPr>
        <w:ind w:left="1260" w:right="599" w:hanging="334"/>
        <w:spacing w:after="0" w:line="272" w:lineRule="auto"/>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target company may not be hindered in the conduct of its affairs longer than is reasonable by an offer for its securities; and</w:t>
      </w:r>
    </w:p>
    <w:p>
      <w:pPr>
        <w:spacing w:after="0" w:line="58" w:lineRule="exact"/>
        <w:rPr>
          <w:rFonts w:ascii="Times New Roman" w:cs="Times New Roman" w:eastAsia="Times New Roman" w:hAnsi="Times New Roman"/>
          <w:sz w:val="17"/>
          <w:szCs w:val="17"/>
          <w:color w:val="auto"/>
        </w:rPr>
      </w:pPr>
    </w:p>
    <w:p>
      <w:pPr>
        <w:jc w:val="both"/>
        <w:ind w:left="1260" w:right="619" w:hanging="334"/>
        <w:spacing w:after="0" w:line="259" w:lineRule="auto"/>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3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Transfer of Shares</w:t>
      </w:r>
    </w:p>
    <w:p>
      <w:pPr>
        <w:spacing w:after="0" w:line="109" w:lineRule="exact"/>
        <w:rPr>
          <w:sz w:val="20"/>
          <w:szCs w:val="20"/>
          <w:color w:val="auto"/>
        </w:rPr>
      </w:pPr>
    </w:p>
    <w:p>
      <w:pPr>
        <w:jc w:val="both"/>
        <w:ind w:left="600" w:right="599" w:firstLine="334"/>
        <w:spacing w:after="0" w:line="248" w:lineRule="auto"/>
        <w:rPr>
          <w:sz w:val="20"/>
          <w:szCs w:val="20"/>
          <w:color w:val="auto"/>
        </w:rPr>
      </w:pPr>
      <w:r>
        <w:rPr>
          <w:rFonts w:ascii="Times New Roman" w:cs="Times New Roman" w:eastAsia="Times New Roman" w:hAnsi="Times New Roman"/>
          <w:sz w:val="17"/>
          <w:szCs w:val="17"/>
          <w:color w:val="auto"/>
        </w:rPr>
        <w:t>Under certain circumstances, a person who acquires shares, or other voting securities, of a company may be required under the Irish Takeover Rules to make a mandatory cash offer for the remaining outstanding voting securities in that company at a price not less than the highest price paid for the securities by the acquiror, or any parties acting in concert with the acquiror, during the previous 12 months. This mandatory bid requirement is triggered if an acquisition of securities would increase the aggregate holding of an acquiror, including the holdings of any parties acting in concert with the acquiror, to securities representing 30% or more of the voting rights in a company, unless the Irish Takeover Panel otherwise consents. An acquisition of securities by a person holding, together with its concert parties, securities representing between 30% and 50% of the voting rights in a company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securities representing more than 50% of the voting rights of a company is not subject to these mandatory offer requirements in purchasing additional securities.</w:t>
      </w:r>
    </w:p>
    <w:p>
      <w:pPr>
        <w:spacing w:after="0" w:line="30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Voluntary Bid; Requirements to Make a Cash Offer and Minimum Price Requirement</w:t>
      </w:r>
    </w:p>
    <w:p>
      <w:pPr>
        <w:spacing w:after="0" w:line="109" w:lineRule="exact"/>
        <w:rPr>
          <w:sz w:val="20"/>
          <w:szCs w:val="20"/>
          <w:color w:val="auto"/>
        </w:rPr>
      </w:pPr>
    </w:p>
    <w:p>
      <w:pPr>
        <w:jc w:val="both"/>
        <w:ind w:left="600" w:right="599" w:firstLine="334"/>
        <w:spacing w:after="0" w:line="252" w:lineRule="auto"/>
        <w:rPr>
          <w:sz w:val="20"/>
          <w:szCs w:val="20"/>
          <w:color w:val="auto"/>
        </w:rPr>
      </w:pPr>
      <w:r>
        <w:rPr>
          <w:rFonts w:ascii="Times New Roman" w:cs="Times New Roman" w:eastAsia="Times New Roman" w:hAnsi="Times New Roman"/>
          <w:sz w:val="17"/>
          <w:szCs w:val="17"/>
          <w:color w:val="auto"/>
        </w:rPr>
        <w:t>If a person makes a voluntary offer to acquire our outstanding ordinary shares, the offer price must not be less than the highest price paid for our ordinary shares by the bidder or its concert parties during the three-month period prior to the commencement of the offer period. The Irish Takeover Panel has the power to extend the “look back” period to 12 months if the Irish Takeover Panel, taking into account the General Principles, believes it is appropriate to do so.</w:t>
      </w:r>
    </w:p>
    <w:p>
      <w:pPr>
        <w:spacing w:after="0" w:line="77" w:lineRule="exact"/>
        <w:rPr>
          <w:sz w:val="20"/>
          <w:szCs w:val="20"/>
          <w:color w:val="auto"/>
        </w:rPr>
      </w:pPr>
    </w:p>
    <w:p>
      <w:pPr>
        <w:jc w:val="both"/>
        <w:ind w:left="600" w:right="599" w:firstLine="334"/>
        <w:spacing w:after="0" w:line="267" w:lineRule="auto"/>
        <w:rPr>
          <w:sz w:val="20"/>
          <w:szCs w:val="20"/>
          <w:color w:val="auto"/>
        </w:rPr>
      </w:pPr>
      <w:r>
        <w:rPr>
          <w:rFonts w:ascii="Times New Roman" w:cs="Times New Roman" w:eastAsia="Times New Roman" w:hAnsi="Times New Roman"/>
          <w:sz w:val="16"/>
          <w:szCs w:val="16"/>
          <w:color w:val="auto"/>
        </w:rPr>
        <w:t>If the bidder or any of its concert parties has acquired our ordinary shares (1) during the 12-month period prior to the commencement of the offer period that represent more than 10% of our total ordinary shares or (2) at any time after the commencement of the offer period, the offer must be in cash or accompanied by a full cash alternative and the price per share must not be less than the highest price paid by the bidder or its concert parties during, in the case of clause (1), the 12-month period prior to the commencement of the offer period or, in the case of (2), the offer period. The Irish Takeover Panel may apply this Rule to a bidder who, together with its concert parties, has acquired less than 10% of our total ordinary shares in the 12-month period prior to the commencement of the offer period if the Irish Takeover Panel, taking into account the General Principles, considers it just and proper to do so.</w:t>
      </w:r>
    </w:p>
    <w:p>
      <w:pPr>
        <w:spacing w:after="0" w:line="1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An offer period will generally commence from the date of the first announcement of the offer or proposed offer.</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117475</wp:posOffset>
            </wp:positionV>
            <wp:extent cx="649732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8" w:name="page19"/>
    <w:bookmarkEnd w:id="18"/>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Substantial Acquisition Rules</w:t>
      </w:r>
    </w:p>
    <w:p>
      <w:pPr>
        <w:spacing w:after="0" w:line="109"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The Irish Takeover Rules also contain rules governing substantial acquisitions of shares and other voting securities which restrict the speed at which a person may increase his or her holding of shares and rights over shares to an aggregate of between 15% and 30% of the voting rights of the company. Except in certain circumstances, an acquisition or series of acquisitions of shares or rights over shares representing 10% or more of the voting rights of the company is prohibited, if such acquisition(s), when aggregated with shares or rights already held, would result in the acquirer holding 15% or more but less than 30% of the voting rights of the company and such acquisitions are made within a period of seven days. These rules also require accelerated disclosure of acquisitions of shares or rights over shares relating to such holdings.</w:t>
      </w:r>
    </w:p>
    <w:p>
      <w:pPr>
        <w:spacing w:after="0" w:line="3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Takeover Timeline</w:t>
      </w:r>
    </w:p>
    <w:p>
      <w:pPr>
        <w:spacing w:after="0" w:line="109" w:lineRule="exact"/>
        <w:rPr>
          <w:sz w:val="20"/>
          <w:szCs w:val="20"/>
          <w:color w:val="auto"/>
        </w:rPr>
      </w:pPr>
    </w:p>
    <w:p>
      <w:pPr>
        <w:jc w:val="both"/>
        <w:ind w:left="600" w:right="599" w:firstLine="334"/>
        <w:spacing w:after="0" w:line="252" w:lineRule="auto"/>
        <w:rPr>
          <w:sz w:val="20"/>
          <w:szCs w:val="20"/>
          <w:color w:val="auto"/>
        </w:rPr>
      </w:pPr>
      <w:r>
        <w:rPr>
          <w:rFonts w:ascii="Times New Roman" w:cs="Times New Roman" w:eastAsia="Times New Roman" w:hAnsi="Times New Roman"/>
          <w:sz w:val="17"/>
          <w:szCs w:val="17"/>
          <w:color w:val="auto"/>
        </w:rPr>
        <w:t>Under the Irish Takeover Rules, in certain circumstances a strict 42-day deadline will be imposed within which a person with whom we are in talks, or from whom we have received an approach, regarding a possible offer is required to make a firm offer for the Company, or announce they will not be making an offer. The Irish Takeover Panel may agree to extend this deadline at our request. This deadline may deter potential bidders from making an offer for the Company.</w:t>
      </w:r>
    </w:p>
    <w:p>
      <w:pPr>
        <w:spacing w:after="0" w:line="3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Frustrating Action</w:t>
      </w:r>
    </w:p>
    <w:p>
      <w:pPr>
        <w:spacing w:after="0" w:line="109" w:lineRule="exact"/>
        <w:rPr>
          <w:sz w:val="20"/>
          <w:szCs w:val="20"/>
          <w:color w:val="auto"/>
        </w:rPr>
      </w:pPr>
    </w:p>
    <w:p>
      <w:pPr>
        <w:jc w:val="both"/>
        <w:ind w:left="600" w:right="599" w:firstLine="334"/>
        <w:spacing w:after="0" w:line="249" w:lineRule="auto"/>
        <w:rPr>
          <w:sz w:val="20"/>
          <w:szCs w:val="20"/>
          <w:color w:val="auto"/>
        </w:rPr>
      </w:pPr>
      <w:r>
        <w:rPr>
          <w:rFonts w:ascii="Times New Roman" w:cs="Times New Roman" w:eastAsia="Times New Roman" w:hAnsi="Times New Roman"/>
          <w:sz w:val="17"/>
          <w:szCs w:val="17"/>
          <w:color w:val="auto"/>
        </w:rPr>
        <w:t>Under the Irish Takeover Rules, our Board of Directors is not permitted to take any action that might frustrate an offer for our shares once our Board of Directors has received an approach that may lead to an offer or has reason to believe that such an offer is or may be imminent, subject to certain exceptions. Potentially frustrating actions such as (1) the issue of shares, options, restricted share units or convertible securities, (2) the redemption or repurchase of securities by the company (save in certain circumstances), (3) material acquisitions or disposals, (4) entering into contracts other than in the ordinary course of business or (5) any action, other than seeking alternative offers, which may result in frustration of an offer, are prohibited during the course of an offer or at any earlier time during which our Board of Directors has reason to believe an offer is or may be imminent. Exceptions to this prohibition are available where:</w:t>
      </w:r>
    </w:p>
    <w:p>
      <w:pPr>
        <w:spacing w:after="0" w:line="81" w:lineRule="exact"/>
        <w:rPr>
          <w:sz w:val="20"/>
          <w:szCs w:val="20"/>
          <w:color w:val="auto"/>
        </w:rPr>
      </w:pPr>
    </w:p>
    <w:p>
      <w:pPr>
        <w:ind w:left="1260" w:hanging="334"/>
        <w:spacing w:after="0"/>
        <w:tabs>
          <w:tab w:leader="none" w:pos="12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action is approved by our shareholders at a general meeting; or</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Irish Takeover Panel has given its consent, where:</w:t>
      </w:r>
    </w:p>
    <w:p>
      <w:pPr>
        <w:spacing w:after="0" w:line="105" w:lineRule="exact"/>
        <w:rPr>
          <w:rFonts w:ascii="Times New Roman" w:cs="Times New Roman" w:eastAsia="Times New Roman" w:hAnsi="Times New Roman"/>
          <w:sz w:val="17"/>
          <w:szCs w:val="17"/>
          <w:color w:val="auto"/>
        </w:rPr>
      </w:pPr>
    </w:p>
    <w:p>
      <w:pPr>
        <w:ind w:left="1580" w:hanging="319"/>
        <w:spacing w:after="0"/>
        <w:tabs>
          <w:tab w:leader="none" w:pos="158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satisfied the action would not constitute frustrating action;</w:t>
      </w:r>
    </w:p>
    <w:p>
      <w:pPr>
        <w:spacing w:after="0" w:line="105" w:lineRule="exact"/>
        <w:rPr>
          <w:rFonts w:ascii="Times New Roman" w:cs="Times New Roman" w:eastAsia="Times New Roman" w:hAnsi="Times New Roman"/>
          <w:sz w:val="17"/>
          <w:szCs w:val="17"/>
          <w:color w:val="auto"/>
        </w:rPr>
      </w:pPr>
    </w:p>
    <w:p>
      <w:pPr>
        <w:ind w:left="1580" w:right="619" w:hanging="319"/>
        <w:spacing w:after="0" w:line="272" w:lineRule="auto"/>
        <w:tabs>
          <w:tab w:leader="none" w:pos="158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shareholders holding more than 50% of the voting rights state in writing that they approve the proposed action and would vote in favor of it at a general meeting;</w:t>
      </w:r>
    </w:p>
    <w:p>
      <w:pPr>
        <w:spacing w:after="0" w:line="58" w:lineRule="exact"/>
        <w:rPr>
          <w:rFonts w:ascii="Times New Roman" w:cs="Times New Roman" w:eastAsia="Times New Roman" w:hAnsi="Times New Roman"/>
          <w:sz w:val="17"/>
          <w:szCs w:val="17"/>
          <w:color w:val="auto"/>
        </w:rPr>
      </w:pPr>
    </w:p>
    <w:p>
      <w:pPr>
        <w:ind w:left="1580" w:right="619" w:hanging="319"/>
        <w:spacing w:after="0" w:line="272" w:lineRule="auto"/>
        <w:tabs>
          <w:tab w:leader="none" w:pos="158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action is taken in accordance with a contract entered into prior to the announcement of the offer, or any earlier time at which our Board of Directors considered the offer to be imminent; or</w:t>
      </w:r>
    </w:p>
    <w:p>
      <w:pPr>
        <w:spacing w:after="0" w:line="58" w:lineRule="exact"/>
        <w:rPr>
          <w:rFonts w:ascii="Times New Roman" w:cs="Times New Roman" w:eastAsia="Times New Roman" w:hAnsi="Times New Roman"/>
          <w:sz w:val="17"/>
          <w:szCs w:val="17"/>
          <w:color w:val="auto"/>
        </w:rPr>
      </w:pPr>
    </w:p>
    <w:p>
      <w:pPr>
        <w:ind w:left="1580" w:right="619" w:hanging="319"/>
        <w:spacing w:after="0" w:line="272" w:lineRule="auto"/>
        <w:tabs>
          <w:tab w:leader="none" w:pos="158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decision to take such action was made before the announcement of the offer and either has been at least partially implemented or is in the ordinary course of business.</w:t>
      </w:r>
    </w:p>
    <w:p>
      <w:pPr>
        <w:spacing w:after="0" w:line="2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Shareholders’ Rights Plan</w:t>
      </w:r>
    </w:p>
    <w:p>
      <w:pPr>
        <w:spacing w:after="0" w:line="109" w:lineRule="exact"/>
        <w:rPr>
          <w:sz w:val="20"/>
          <w:szCs w:val="20"/>
          <w:color w:val="auto"/>
        </w:rPr>
      </w:pPr>
    </w:p>
    <w:p>
      <w:pPr>
        <w:jc w:val="both"/>
        <w:ind w:left="600" w:right="599" w:firstLine="334"/>
        <w:spacing w:after="0" w:line="251" w:lineRule="auto"/>
        <w:rPr>
          <w:sz w:val="20"/>
          <w:szCs w:val="20"/>
          <w:color w:val="auto"/>
        </w:rPr>
      </w:pPr>
      <w:r>
        <w:rPr>
          <w:rFonts w:ascii="Times New Roman" w:cs="Times New Roman" w:eastAsia="Times New Roman" w:hAnsi="Times New Roman"/>
          <w:sz w:val="17"/>
          <w:szCs w:val="17"/>
          <w:color w:val="auto"/>
        </w:rPr>
        <w:t>Irish law does not expressly authorize or prohibit companies from issuing share purchase rights or adopting a shareholder rights plan as an anti-takeover measure. However, there is no directly relevant case law on the validity of such plans under Irish law. In addition, such a plan would be subject to the Irish Takeover Rules and the General Principles underlying the Irish Takeover Rules. The Constitution allows our Board of Directors to adopt a shareholder rights plan upon such terms and conditions as our Board of Directors deems expedient and in the best interests of us, subject to applicable law.</w:t>
      </w:r>
    </w:p>
    <w:p>
      <w:pPr>
        <w:spacing w:after="0" w:line="77" w:lineRule="exact"/>
        <w:rPr>
          <w:sz w:val="20"/>
          <w:szCs w:val="20"/>
          <w:color w:val="auto"/>
        </w:rPr>
      </w:pPr>
    </w:p>
    <w:p>
      <w:pPr>
        <w:jc w:val="both"/>
        <w:ind w:left="600" w:right="599" w:firstLine="334"/>
        <w:spacing w:after="0" w:line="252" w:lineRule="auto"/>
        <w:rPr>
          <w:sz w:val="20"/>
          <w:szCs w:val="20"/>
          <w:color w:val="auto"/>
        </w:rPr>
      </w:pPr>
      <w:r>
        <w:rPr>
          <w:rFonts w:ascii="Times New Roman" w:cs="Times New Roman" w:eastAsia="Times New Roman" w:hAnsi="Times New Roman"/>
          <w:sz w:val="17"/>
          <w:szCs w:val="17"/>
          <w:color w:val="auto"/>
        </w:rPr>
        <w:t>Subject to the Irish Takeover Rules, our Board of Directors also has power to issue any of our authorized and unissued shares on such terms and conditions as it may determine and any such action should be taken in our best interests. It is possible, however, that the terms and conditions of any issue of preference shares could discourage a takeover or other transaction that holders of some or a majority of the ordinary shares believe to be in their best interests or in which holders might receive a premium for their shares over the then-market price of the shares.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19" w:name="page20"/>
    <w:bookmarkEnd w:id="19"/>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Disclosure of Interests in Shares</w:t>
      </w:r>
    </w:p>
    <w:p>
      <w:pPr>
        <w:spacing w:after="0" w:line="109" w:lineRule="exact"/>
        <w:rPr>
          <w:sz w:val="20"/>
          <w:szCs w:val="20"/>
          <w:color w:val="auto"/>
        </w:rPr>
      </w:pPr>
    </w:p>
    <w:p>
      <w:pPr>
        <w:jc w:val="both"/>
        <w:ind w:left="600" w:right="599" w:firstLine="334"/>
        <w:spacing w:after="0" w:line="248" w:lineRule="auto"/>
        <w:rPr>
          <w:sz w:val="20"/>
          <w:szCs w:val="20"/>
          <w:color w:val="auto"/>
        </w:rPr>
      </w:pPr>
      <w:r>
        <w:rPr>
          <w:rFonts w:ascii="Times New Roman" w:cs="Times New Roman" w:eastAsia="Times New Roman" w:hAnsi="Times New Roman"/>
          <w:sz w:val="17"/>
          <w:szCs w:val="17"/>
          <w:color w:val="auto"/>
        </w:rPr>
        <w:t>Under the Irish Companies Act, our shareholders must notify us if, as a result of a transaction, the shareholder will become interested in 3% or more of our voting shares, or if as a result of a transaction a shareholder who was interested in 3% or more of our voting shares ceases to be so interested. Where a shareholder is interested in 3% or more of our voting shares, the shareholder must notify us of any alteration of his or her interest that brings his or her total holding through the nearest whole percentage number, whether an increase or a reduction. The relevant percentage figure is calculated by reference to the aggregate nominal value of the voting shares in which the shareholder is interested as a proportion of the entire nominal value of our issued share capital (or any such class of share capital in issue). Where the percentage level of the shareholder’s interest does not amount to a whole percentage, this figure may be rounded down to the next whole number. We must be notified within five business days of the transaction or alteration of the shareholder’s interests that gave rise to the notification requirement. If a shareholder fails to comply with these notification requirements, the shareholder’s rights in respect of any of our shares it holds will not be enforceable, either directly or indirectly. However, such person may apply to the court to have the rights attaching to such shares reinstated.</w:t>
      </w:r>
    </w:p>
    <w:p>
      <w:pPr>
        <w:spacing w:after="0" w:line="82"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In addition to these disclosure requirements, we, under the Irish Companies Act, may, by notice in writing, require a person whom we know or have reasonable cause to believe to be, or at any time during the three years immediately preceding the date on which such notice is issued to have been, interested in shares comprised in our relevant share capital to (i) indicate whether or not it is the case and (ii) where such person holds or has during that time held an interest in our shares, provide additional information, including the person’s own past or present interests in our shares. If the recipient of the notice fails to respond within the reasonable time period specified in the notice, we may apply to the Irish court for an order directing that the affected shares be subject to certain restrictions, as prescribed by the Irish Companies Act, as follows:</w:t>
      </w:r>
    </w:p>
    <w:p>
      <w:pPr>
        <w:spacing w:after="0" w:line="76" w:lineRule="exact"/>
        <w:rPr>
          <w:sz w:val="20"/>
          <w:szCs w:val="20"/>
          <w:color w:val="auto"/>
        </w:rPr>
      </w:pPr>
    </w:p>
    <w:p>
      <w:pPr>
        <w:ind w:left="1260" w:right="619" w:hanging="334"/>
        <w:spacing w:after="0" w:line="272" w:lineRule="auto"/>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transfer of those shares or, in the case of unissued shares, any transfer of the right to be issued with shares and any issue of shares, shall be void;</w:t>
      </w:r>
    </w:p>
    <w:p>
      <w:pPr>
        <w:spacing w:after="0" w:line="58"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voting rights shall be exercisable in respect of those shares;</w:t>
      </w:r>
    </w:p>
    <w:p>
      <w:pPr>
        <w:spacing w:after="0" w:line="105" w:lineRule="exact"/>
        <w:rPr>
          <w:rFonts w:ascii="Times New Roman" w:cs="Times New Roman" w:eastAsia="Times New Roman" w:hAnsi="Times New Roman"/>
          <w:sz w:val="17"/>
          <w:szCs w:val="17"/>
          <w:color w:val="auto"/>
        </w:rPr>
      </w:pPr>
    </w:p>
    <w:p>
      <w:pPr>
        <w:ind w:left="1260" w:right="619" w:hanging="334"/>
        <w:spacing w:after="0" w:line="272" w:lineRule="auto"/>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further shares shall be issued in right of those shares or in pursuance of any offer made to the holder of those shares; and</w:t>
      </w:r>
    </w:p>
    <w:p>
      <w:pPr>
        <w:spacing w:after="0" w:line="58" w:lineRule="exact"/>
        <w:rPr>
          <w:rFonts w:ascii="Times New Roman" w:cs="Times New Roman" w:eastAsia="Times New Roman" w:hAnsi="Times New Roman"/>
          <w:sz w:val="17"/>
          <w:szCs w:val="17"/>
          <w:color w:val="auto"/>
        </w:rPr>
      </w:pPr>
    </w:p>
    <w:p>
      <w:pPr>
        <w:ind w:left="1260" w:right="619" w:hanging="334"/>
        <w:spacing w:after="0" w:line="272" w:lineRule="auto"/>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payment shall be made of any sums due from us on those shares, whether in respect of capital or otherwise.</w:t>
      </w:r>
    </w:p>
    <w:p>
      <w:pPr>
        <w:spacing w:after="0" w:line="58" w:lineRule="exact"/>
        <w:rPr>
          <w:sz w:val="20"/>
          <w:szCs w:val="20"/>
          <w:color w:val="auto"/>
        </w:rPr>
      </w:pPr>
    </w:p>
    <w:p>
      <w:pPr>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The court may also order that shares subject to any of these restrictions be sold with the restrictions terminating upon the completion of the sale.</w:t>
      </w:r>
    </w:p>
    <w:p>
      <w:pPr>
        <w:spacing w:after="0" w:line="58" w:lineRule="exact"/>
        <w:rPr>
          <w:sz w:val="20"/>
          <w:szCs w:val="20"/>
          <w:color w:val="auto"/>
        </w:rPr>
      </w:pPr>
    </w:p>
    <w:p>
      <w:pPr>
        <w:ind w:left="600" w:right="599" w:firstLine="334"/>
        <w:spacing w:after="0" w:line="272" w:lineRule="auto"/>
        <w:rPr>
          <w:sz w:val="20"/>
          <w:szCs w:val="20"/>
          <w:color w:val="auto"/>
        </w:rPr>
      </w:pPr>
      <w:r>
        <w:rPr>
          <w:rFonts w:ascii="Times New Roman" w:cs="Times New Roman" w:eastAsia="Times New Roman" w:hAnsi="Times New Roman"/>
          <w:sz w:val="17"/>
          <w:szCs w:val="17"/>
          <w:color w:val="auto"/>
        </w:rPr>
        <w:t>In the event we are in an offer period pursuant to the Irish Takeover Rules, accelerated disclosure provisions apply for persons holding an interest in our securities of 1% or more.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20" w:name="page21"/>
    <w:bookmarkEnd w:id="20"/>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COMPARISON OF IRISH LAW AND DELAWARE LAW</w:t>
      </w:r>
    </w:p>
    <w:p>
      <w:pPr>
        <w:spacing w:after="0" w:line="109" w:lineRule="exact"/>
        <w:rPr>
          <w:sz w:val="20"/>
          <w:szCs w:val="20"/>
          <w:color w:val="auto"/>
        </w:rPr>
      </w:pPr>
    </w:p>
    <w:p>
      <w:pPr>
        <w:jc w:val="both"/>
        <w:ind w:left="600" w:right="599" w:firstLine="334"/>
        <w:spacing w:after="0" w:line="265" w:lineRule="auto"/>
        <w:rPr>
          <w:sz w:val="20"/>
          <w:szCs w:val="20"/>
          <w:color w:val="auto"/>
        </w:rPr>
      </w:pPr>
      <w:r>
        <w:rPr>
          <w:rFonts w:ascii="Times New Roman" w:cs="Times New Roman" w:eastAsia="Times New Roman" w:hAnsi="Times New Roman"/>
          <w:sz w:val="16"/>
          <w:szCs w:val="16"/>
          <w:color w:val="auto"/>
        </w:rPr>
        <w:t>As a public limited company incorporated under the laws of Ireland, the rights of our shareholders are governed by applicable Irish law, including the Irish Companies Act, and not by the law of any U.S. state. As a result, our directors and shareholders are subject to different responsibilities, rights and privileges than are applicable to directors and shareholders of U.S. corporations. The applicable provisions of the Irish Companies Act differ from laws applicable to U.S. corporations and their shareholders. Set forth below is a summary of certain differences between the provisions of the Irish Companies Act applicable to us and the General Corporation Law of the State of Delaware relating to shareholders’ rights and protections. The applicable provisions in respect of the Company under the Constitution is also set out where relevant. This summary is not intended to be a complete discussion of the respective rights and it is qualified in its entirety by reference to Delaware law and Irish law. You are also urged to carefully read the relevant provisions of the Delaware General Corporation Law and the Irish Companies Act for a more complete understanding of the differences between Delaware and Irish law.</w:t>
      </w:r>
    </w:p>
    <w:p>
      <w:pPr>
        <w:sectPr>
          <w:pgSz w:w="11900" w:h="16838" w:orient="portrait"/>
          <w:cols w:equalWidth="0" w:num="1">
            <w:col w:w="9019"/>
          </w:cols>
          <w:pgMar w:left="1440" w:top="253" w:right="1440" w:bottom="1440" w:gutter="0" w:footer="0" w:header="0"/>
        </w:sectPr>
      </w:pPr>
    </w:p>
    <w:p>
      <w:pPr>
        <w:spacing w:after="0" w:line="203" w:lineRule="exact"/>
        <w:rPr>
          <w:sz w:val="20"/>
          <w:szCs w:val="20"/>
          <w:color w:val="auto"/>
        </w:rPr>
      </w:pPr>
    </w:p>
    <w:tbl>
      <w:tblPr>
        <w:tblLayout w:type="fixed"/>
        <w:tblInd w:w="600" w:type="dxa"/>
        <w:tblCellMar>
          <w:top w:w="0" w:type="dxa"/>
          <w:left w:w="0" w:type="dxa"/>
          <w:bottom w:w="0" w:type="dxa"/>
          <w:right w:w="0" w:type="dxa"/>
        </w:tblCellMar>
      </w:tblPr>
      <w:tr>
        <w:trPr>
          <w:trHeight w:val="175"/>
        </w:trPr>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3"/>
                <w:szCs w:val="13"/>
                <w:b w:val="1"/>
                <w:bCs w:val="1"/>
                <w:color w:val="auto"/>
              </w:rPr>
              <w:t>IRELAND</w:t>
            </w:r>
          </w:p>
        </w:tc>
      </w:tr>
      <w:tr>
        <w:trPr>
          <w:trHeight w:val="189"/>
        </w:trPr>
        <w:tc>
          <w:tcPr>
            <w:tcW w:w="16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Number of Directors</w:t>
            </w:r>
          </w:p>
        </w:tc>
        <w:tc>
          <w:tcPr>
            <w:tcW w:w="180" w:type="dxa"/>
            <w:vAlign w:val="bottom"/>
          </w:tcPr>
          <w:p>
            <w:pPr>
              <w:spacing w:after="0"/>
              <w:rPr>
                <w:sz w:val="16"/>
                <w:szCs w:val="16"/>
                <w:color w:val="auto"/>
              </w:rPr>
            </w:pPr>
          </w:p>
        </w:tc>
        <w:tc>
          <w:tcPr>
            <w:tcW w:w="29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The Irish Companies Act provides for a</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minimum  of  two  directors  for  public</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w w:val="98"/>
              </w:rPr>
              <w:t>companies. The Constitution provides for a</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w w:val="99"/>
              </w:rPr>
              <w:t>minimum of two directors and a maximum</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w w:val="98"/>
              </w:rPr>
              <w:t>of nine. Our shareholders may from time to</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time  increase  or  reduce  the  maximum</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w w:val="99"/>
              </w:rPr>
              <w:t>number, or increase the minimum number,</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of directors by ordinary resolution. Our</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Board of Directors determines the number</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of directors within the range of two to</w:t>
            </w:r>
          </w:p>
        </w:tc>
      </w:tr>
      <w:tr>
        <w:trPr>
          <w:trHeight w:val="217"/>
        </w:trPr>
        <w:tc>
          <w:tcPr>
            <w:tcW w:w="1620" w:type="dxa"/>
            <w:vAlign w:val="bottom"/>
          </w:tcPr>
          <w:p>
            <w:pPr>
              <w:spacing w:after="0"/>
              <w:rPr>
                <w:sz w:val="18"/>
                <w:szCs w:val="18"/>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nine.</w:t>
            </w:r>
          </w:p>
        </w:tc>
      </w:tr>
      <w:tr>
        <w:trPr>
          <w:trHeight w:val="385"/>
        </w:trPr>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Removal of Directors</w:t>
            </w: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Under  the  Irish  Companies  Act,  the</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shareholders may, by ordinary resolution,</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remove a director from office before the</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expiration of his or her term, at a meeting</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held with no less than 28 days’ notice and</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w w:val="98"/>
              </w:rPr>
              <w:t>at which the director is entitled to be heard.</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Because  of  this  provision  of  the  Irish</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Companies  Act,  a  director  may  be  so</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w w:val="99"/>
              </w:rPr>
              <w:t>removed before the expiration of his or her</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period of office.</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 </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w w:val="99"/>
              </w:rPr>
              <w:t>The power of removal is without prejudice</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 any claim for damages for breach of</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contract (e.g., employment contract) that</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w w:val="98"/>
              </w:rPr>
              <w:t>the director may have against the Company</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  respect  of  his  or  her  removal.  The</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w w:val="98"/>
              </w:rPr>
              <w:t>Constitution also provides that the office of</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  director  will  also  be  vacated  if  the</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director is restricted or disqualified to act</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as a director under the Irish Companies</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Act; resigns his or her office by notice in</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writing to us or in writing offers to resign</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the directors resolve to accept such</w:t>
            </w:r>
          </w:p>
        </w:tc>
      </w:tr>
      <w:tr>
        <w:trPr>
          <w:trHeight w:val="201"/>
        </w:trPr>
        <w:tc>
          <w:tcPr>
            <w:tcW w:w="1620" w:type="dxa"/>
            <w:vAlign w:val="bottom"/>
          </w:tcPr>
          <w:p>
            <w:pPr>
              <w:spacing w:after="0"/>
              <w:rPr>
                <w:sz w:val="17"/>
                <w:szCs w:val="17"/>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offer; or is requested to resign in writing</w:t>
            </w:r>
          </w:p>
        </w:tc>
      </w:tr>
      <w:tr>
        <w:trPr>
          <w:trHeight w:val="217"/>
        </w:trPr>
        <w:tc>
          <w:tcPr>
            <w:tcW w:w="1620" w:type="dxa"/>
            <w:vAlign w:val="bottom"/>
          </w:tcPr>
          <w:p>
            <w:pPr>
              <w:spacing w:after="0"/>
              <w:rPr>
                <w:sz w:val="18"/>
                <w:szCs w:val="18"/>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w w:val="99"/>
              </w:rPr>
              <w:t>by not less than 75% of the other directors.</w:t>
            </w:r>
          </w:p>
        </w:tc>
      </w:tr>
    </w:tbl>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18472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14" w:lineRule="exact"/>
        <w:rPr>
          <w:sz w:val="20"/>
          <w:szCs w:val="20"/>
          <w:color w:val="auto"/>
        </w:rPr>
      </w:pPr>
    </w:p>
    <w:p>
      <w:pPr>
        <w:jc w:val="both"/>
        <w:ind w:right="599"/>
        <w:spacing w:after="0" w:line="249" w:lineRule="auto"/>
        <w:rPr>
          <w:sz w:val="20"/>
          <w:szCs w:val="20"/>
          <w:color w:val="auto"/>
        </w:rPr>
      </w:pPr>
      <w:r>
        <w:rPr>
          <w:rFonts w:ascii="Times New Roman" w:cs="Times New Roman" w:eastAsia="Times New Roman" w:hAnsi="Times New Roman"/>
          <w:sz w:val="17"/>
          <w:szCs w:val="17"/>
          <w:color w:val="auto"/>
        </w:rPr>
        <w:t>A typical certificate of incorporation and bylaws would provide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p>
      <w:pPr>
        <w:spacing w:after="0" w:line="379" w:lineRule="exact"/>
        <w:rPr>
          <w:sz w:val="20"/>
          <w:szCs w:val="20"/>
          <w:color w:val="auto"/>
        </w:rPr>
      </w:pPr>
    </w:p>
    <w:p>
      <w:pPr>
        <w:jc w:val="both"/>
        <w:ind w:right="599"/>
        <w:spacing w:after="0" w:line="248" w:lineRule="auto"/>
        <w:rPr>
          <w:sz w:val="20"/>
          <w:szCs w:val="20"/>
          <w:color w:val="auto"/>
        </w:rPr>
      </w:pPr>
      <w:r>
        <w:rPr>
          <w:rFonts w:ascii="Times New Roman" w:cs="Times New Roman" w:eastAsia="Times New Roman" w:hAnsi="Times New Roman"/>
          <w:sz w:val="17"/>
          <w:szCs w:val="17"/>
          <w:color w:val="auto"/>
        </w:rPr>
        <w:t>A typical certificate of incorporation and bylaws provide that, subject to the rights of holders of any preferred shares, directors may be removed at any time by the affirmative vote of the holders of at least a majority, or in some instances a supermajority, of the voting power of all of the then outstanding shares entitled to vote generally in the election of directors, voting together as a single class. A certificate of incorporation could also provide that such a right is only exercisable when a director is being removed for cause (removal of a director only for cause is the default rule in the case of a classified board).</w:t>
      </w:r>
    </w:p>
    <w:p>
      <w:pPr>
        <w:spacing w:after="0" w:line="1983" w:lineRule="exact"/>
        <w:rPr>
          <w:sz w:val="20"/>
          <w:szCs w:val="20"/>
          <w:color w:val="auto"/>
        </w:rPr>
      </w:pPr>
    </w:p>
    <w:p>
      <w:pPr>
        <w:sectPr>
          <w:pgSz w:w="11900" w:h="16838" w:orient="portrait"/>
          <w:cols w:equalWidth="0" w:num="2">
            <w:col w:w="5320" w:space="180"/>
            <w:col w:w="3519"/>
          </w:cols>
          <w:pgMar w:left="1440" w:top="253" w:right="1440" w:bottom="1440" w:gutter="0" w:footer="0" w:header="0"/>
          <w:type w:val="continuous"/>
        </w:sectPr>
      </w:pPr>
    </w:p>
    <w:p>
      <w:pPr>
        <w:ind w:left="600"/>
        <w:spacing w:after="0"/>
        <w:tabs>
          <w:tab w:leader="none" w:pos="2380" w:val="left"/>
        </w:tabs>
        <w:rPr>
          <w:sz w:val="20"/>
          <w:szCs w:val="20"/>
          <w:color w:val="auto"/>
        </w:rPr>
      </w:pPr>
      <w:r>
        <w:rPr>
          <w:rFonts w:ascii="Times New Roman" w:cs="Times New Roman" w:eastAsia="Times New Roman" w:hAnsi="Times New Roman"/>
          <w:sz w:val="17"/>
          <w:szCs w:val="17"/>
          <w:color w:val="auto"/>
        </w:rPr>
        <w:t>Vacancies on the Board</w:t>
        <w:tab/>
        <w:t>Any vacancy on our Board of Directors,</w:t>
      </w:r>
    </w:p>
    <w:p>
      <w:pPr>
        <w:spacing w:after="0" w:line="21" w:lineRule="exact"/>
        <w:rPr>
          <w:sz w:val="20"/>
          <w:szCs w:val="20"/>
          <w:color w:val="auto"/>
        </w:rPr>
      </w:pPr>
    </w:p>
    <w:p>
      <w:pPr>
        <w:ind w:left="600"/>
        <w:spacing w:after="0"/>
        <w:tabs>
          <w:tab w:leader="none" w:pos="2380" w:val="left"/>
        </w:tabs>
        <w:rPr>
          <w:sz w:val="20"/>
          <w:szCs w:val="20"/>
          <w:color w:val="auto"/>
        </w:rPr>
      </w:pPr>
      <w:r>
        <w:rPr>
          <w:rFonts w:ascii="Times New Roman" w:cs="Times New Roman" w:eastAsia="Times New Roman" w:hAnsi="Times New Roman"/>
          <w:sz w:val="17"/>
          <w:szCs w:val="17"/>
          <w:color w:val="auto"/>
        </w:rPr>
        <w:t>of Directors</w:t>
      </w:r>
      <w:r>
        <w:rPr>
          <w:sz w:val="20"/>
          <w:szCs w:val="20"/>
          <w:color w:val="auto"/>
        </w:rPr>
        <w:tab/>
      </w:r>
      <w:r>
        <w:rPr>
          <w:rFonts w:ascii="Times New Roman" w:cs="Times New Roman" w:eastAsia="Times New Roman" w:hAnsi="Times New Roman"/>
          <w:sz w:val="17"/>
          <w:szCs w:val="17"/>
          <w:color w:val="auto"/>
        </w:rPr>
        <w:t>including  a  vacancy  resulting  from  an</w:t>
      </w:r>
    </w:p>
    <w:p>
      <w:pPr>
        <w:spacing w:after="0" w:line="5" w:lineRule="exact"/>
        <w:rPr>
          <w:sz w:val="20"/>
          <w:szCs w:val="20"/>
          <w:color w:val="auto"/>
        </w:rPr>
      </w:pPr>
    </w:p>
    <w:p>
      <w:pPr>
        <w:ind w:left="2400"/>
        <w:spacing w:after="0" w:line="252" w:lineRule="auto"/>
        <w:rPr>
          <w:sz w:val="20"/>
          <w:szCs w:val="20"/>
          <w:color w:val="auto"/>
        </w:rPr>
      </w:pPr>
      <w:r>
        <w:rPr>
          <w:rFonts w:ascii="Times New Roman" w:cs="Times New Roman" w:eastAsia="Times New Roman" w:hAnsi="Times New Roman"/>
          <w:sz w:val="17"/>
          <w:szCs w:val="17"/>
          <w:color w:val="auto"/>
        </w:rPr>
        <w:t>increase in the number of directors or from the death, resignation, retirement,</w:t>
      </w:r>
    </w:p>
    <w:p>
      <w:pPr>
        <w:spacing w:after="0" w:line="20" w:lineRule="exact"/>
        <w:rPr>
          <w:sz w:val="20"/>
          <w:szCs w:val="20"/>
          <w:color w:val="auto"/>
        </w:rPr>
      </w:pPr>
      <w:r>
        <w:rPr>
          <w:sz w:val="20"/>
          <w:szCs w:val="20"/>
          <w:color w:val="auto"/>
        </w:rPr>
        <w:br w:type="column"/>
      </w:r>
    </w:p>
    <w:p>
      <w:pPr>
        <w:jc w:val="both"/>
        <w:ind w:right="599"/>
        <w:spacing w:after="0" w:line="255" w:lineRule="auto"/>
        <w:rPr>
          <w:sz w:val="20"/>
          <w:szCs w:val="20"/>
          <w:color w:val="auto"/>
        </w:rPr>
      </w:pPr>
      <w:r>
        <w:rPr>
          <w:rFonts w:ascii="Times New Roman" w:cs="Times New Roman" w:eastAsia="Times New Roman" w:hAnsi="Times New Roman"/>
          <w:sz w:val="17"/>
          <w:szCs w:val="17"/>
          <w:color w:val="auto"/>
        </w:rPr>
        <w:t>A typical certificate of incorporation and bylaws provide that, subject to the rights of the holders of any preferred shares, any vacancy, whether arising through death,</w:t>
      </w:r>
    </w:p>
    <w:p>
      <w:pPr>
        <w:spacing w:after="0" w:line="200" w:lineRule="exact"/>
        <w:rPr>
          <w:sz w:val="20"/>
          <w:szCs w:val="20"/>
          <w:color w:val="auto"/>
        </w:rPr>
      </w:pPr>
    </w:p>
    <w:p>
      <w:pPr>
        <w:sectPr>
          <w:pgSz w:w="11900" w:h="16838" w:orient="portrait"/>
          <w:cols w:equalWidth="0" w:num="2">
            <w:col w:w="5300" w:space="200"/>
            <w:col w:w="3519"/>
          </w:cols>
          <w:pgMar w:left="1440" w:top="253" w:right="1440" w:bottom="1440" w:gutter="0" w:footer="0" w:header="0"/>
          <w:type w:val="continuous"/>
        </w:sectPr>
      </w:pP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124460</wp:posOffset>
            </wp:positionV>
            <wp:extent cx="649732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type w:val="continuous"/>
        </w:sectPr>
      </w:pPr>
    </w:p>
    <w:bookmarkStart w:id="21" w:name="page22"/>
    <w:bookmarkEnd w:id="21"/>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14" w:lineRule="exact"/>
        <w:rPr>
          <w:sz w:val="20"/>
          <w:szCs w:val="20"/>
          <w:color w:val="auto"/>
        </w:rPr>
      </w:pPr>
    </w:p>
    <w:p>
      <w:pPr>
        <w:jc w:val="center"/>
        <w:ind w:left="2400"/>
        <w:spacing w:after="0"/>
        <w:rPr>
          <w:sz w:val="20"/>
          <w:szCs w:val="20"/>
          <w:color w:val="auto"/>
        </w:rPr>
      </w:pPr>
      <w:r>
        <w:rPr>
          <w:rFonts w:ascii="Times New Roman" w:cs="Times New Roman" w:eastAsia="Times New Roman" w:hAnsi="Times New Roman"/>
          <w:sz w:val="13"/>
          <w:szCs w:val="13"/>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15875</wp:posOffset>
            </wp:positionV>
            <wp:extent cx="18472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14" w:lineRule="exact"/>
        <w:rPr>
          <w:sz w:val="20"/>
          <w:szCs w:val="20"/>
          <w:color w:val="auto"/>
        </w:rPr>
      </w:pPr>
    </w:p>
    <w:p>
      <w:pPr>
        <w:ind w:left="2400"/>
        <w:spacing w:after="0" w:line="249" w:lineRule="auto"/>
        <w:rPr>
          <w:sz w:val="20"/>
          <w:szCs w:val="20"/>
          <w:color w:val="auto"/>
        </w:rPr>
      </w:pPr>
      <w:r>
        <w:rPr>
          <w:rFonts w:ascii="Times New Roman" w:cs="Times New Roman" w:eastAsia="Times New Roman" w:hAnsi="Times New Roman"/>
          <w:sz w:val="17"/>
          <w:szCs w:val="17"/>
          <w:color w:val="auto"/>
        </w:rPr>
        <w:t>disqualification or removal of a director, shall be deemed a casual vacancy. Any casual vacancy shall only be filled by the decision of a majority of our Board of Directors then in office, provided that a quorum is present and provided that the appointment does not cause the number of directors to exceed any number fixed by or in accordance with the Constitution as the maximum number of directors.  </w:t>
      </w:r>
    </w:p>
    <w:p>
      <w:pPr>
        <w:spacing w:after="0" w:line="195" w:lineRule="exact"/>
        <w:rPr>
          <w:sz w:val="20"/>
          <w:szCs w:val="20"/>
          <w:color w:val="auto"/>
        </w:rPr>
      </w:pPr>
    </w:p>
    <w:p>
      <w:pPr>
        <w:jc w:val="both"/>
        <w:ind w:left="2400"/>
        <w:spacing w:after="0" w:line="247" w:lineRule="auto"/>
        <w:rPr>
          <w:sz w:val="20"/>
          <w:szCs w:val="20"/>
          <w:color w:val="auto"/>
        </w:rPr>
      </w:pPr>
      <w:r>
        <w:rPr>
          <w:rFonts w:ascii="Times New Roman" w:cs="Times New Roman" w:eastAsia="Times New Roman" w:hAnsi="Times New Roman"/>
          <w:sz w:val="17"/>
          <w:szCs w:val="17"/>
          <w:color w:val="auto"/>
        </w:rPr>
        <w:t>Any director elected to fill a vacancy resulting from an increase in the number of directors shall hold office for the remaining term of office. Any director elected to fill a vacancy not resulting from an increase in the number of directors shall have the same remaining term as that of his predecessor. A director retiring at a meeting shall retain office until the close or adjournment of the meeting.</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18472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14" w:lineRule="exact"/>
        <w:rPr>
          <w:sz w:val="20"/>
          <w:szCs w:val="20"/>
          <w:color w:val="auto"/>
        </w:rPr>
      </w:pPr>
    </w:p>
    <w:p>
      <w:pPr>
        <w:jc w:val="both"/>
        <w:ind w:right="599"/>
        <w:spacing w:after="0" w:line="248" w:lineRule="auto"/>
        <w:rPr>
          <w:sz w:val="20"/>
          <w:szCs w:val="20"/>
          <w:color w:val="auto"/>
        </w:rPr>
      </w:pPr>
      <w:r>
        <w:rPr>
          <w:rFonts w:ascii="Times New Roman" w:cs="Times New Roman" w:eastAsia="Times New Roman" w:hAnsi="Times New Roman"/>
          <w:sz w:val="17"/>
          <w:szCs w:val="17"/>
          <w:color w:val="auto"/>
        </w:rPr>
        <w:t>resignation, retirement, disqualification, removal, an increase in the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shareholders at which the term of the class of directors to which the newly elected director has been elected expires.</w:t>
      </w:r>
    </w:p>
    <w:p>
      <w:pPr>
        <w:spacing w:after="0" w:line="1990" w:lineRule="exact"/>
        <w:rPr>
          <w:sz w:val="20"/>
          <w:szCs w:val="20"/>
          <w:color w:val="auto"/>
        </w:rPr>
      </w:pPr>
    </w:p>
    <w:p>
      <w:pPr>
        <w:sectPr>
          <w:pgSz w:w="11900" w:h="16838" w:orient="portrait"/>
          <w:cols w:equalWidth="0" w:num="2">
            <w:col w:w="5300" w:space="200"/>
            <w:col w:w="3519"/>
          </w:cols>
          <w:pgMar w:left="1440" w:top="253" w:right="1440" w:bottom="1440" w:gutter="0" w:footer="0" w:header="0"/>
        </w:sectPr>
      </w:pPr>
    </w:p>
    <w:tbl>
      <w:tblPr>
        <w:tblLayout w:type="fixed"/>
        <w:tblInd w:w="600" w:type="dxa"/>
        <w:tblCellMar>
          <w:top w:w="0" w:type="dxa"/>
          <w:left w:w="0" w:type="dxa"/>
          <w:bottom w:w="0" w:type="dxa"/>
          <w:right w:w="0" w:type="dxa"/>
        </w:tblCellMar>
      </w:tblPr>
      <w:tr>
        <w:trPr>
          <w:trHeight w:val="201"/>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Annual General</w:t>
            </w:r>
          </w:p>
        </w:tc>
        <w:tc>
          <w:tcPr>
            <w:tcW w:w="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We are</w:t>
            </w: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required to hold annual general</w:t>
            </w:r>
          </w:p>
        </w:tc>
      </w:tr>
      <w:tr>
        <w:trPr>
          <w:trHeight w:val="201"/>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Meeting</w:t>
            </w:r>
          </w:p>
        </w:tc>
        <w:tc>
          <w:tcPr>
            <w:tcW w:w="98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94"/>
              </w:rPr>
              <w:t>meetings</w:t>
            </w: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at  intervals  of  no  more</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5"/>
              </w:rPr>
              <w:t>than</w:t>
            </w:r>
          </w:p>
        </w:tc>
      </w:tr>
      <w:tr>
        <w:trPr>
          <w:trHeight w:val="201"/>
        </w:trPr>
        <w:tc>
          <w:tcPr>
            <w:tcW w:w="1420" w:type="dxa"/>
            <w:vAlign w:val="bottom"/>
          </w:tcPr>
          <w:p>
            <w:pPr>
              <w:spacing w:after="0"/>
              <w:rPr>
                <w:sz w:val="17"/>
                <w:szCs w:val="17"/>
                <w:color w:val="auto"/>
              </w:rPr>
            </w:pPr>
          </w:p>
        </w:tc>
        <w:tc>
          <w:tcPr>
            <w:tcW w:w="328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15  months  after  the  previous  annual</w:t>
            </w:r>
          </w:p>
        </w:tc>
      </w:tr>
      <w:tr>
        <w:trPr>
          <w:trHeight w:val="201"/>
        </w:trPr>
        <w:tc>
          <w:tcPr>
            <w:tcW w:w="1420" w:type="dxa"/>
            <w:vAlign w:val="bottom"/>
          </w:tcPr>
          <w:p>
            <w:pPr>
              <w:spacing w:after="0"/>
              <w:rPr>
                <w:sz w:val="17"/>
                <w:szCs w:val="17"/>
                <w:color w:val="auto"/>
              </w:rPr>
            </w:pPr>
          </w:p>
        </w:tc>
        <w:tc>
          <w:tcPr>
            <w:tcW w:w="328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general meeting, provided that an annual</w:t>
            </w:r>
          </w:p>
        </w:tc>
      </w:tr>
      <w:tr>
        <w:trPr>
          <w:trHeight w:val="201"/>
        </w:trPr>
        <w:tc>
          <w:tcPr>
            <w:tcW w:w="1420" w:type="dxa"/>
            <w:vAlign w:val="bottom"/>
          </w:tcPr>
          <w:p>
            <w:pPr>
              <w:spacing w:after="0"/>
              <w:rPr>
                <w:sz w:val="17"/>
                <w:szCs w:val="17"/>
                <w:color w:val="auto"/>
              </w:rPr>
            </w:pPr>
          </w:p>
        </w:tc>
        <w:tc>
          <w:tcPr>
            <w:tcW w:w="328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general meeting is held in each calendar</w:t>
            </w:r>
          </w:p>
        </w:tc>
      </w:tr>
      <w:tr>
        <w:trPr>
          <w:trHeight w:val="201"/>
        </w:trPr>
        <w:tc>
          <w:tcPr>
            <w:tcW w:w="1420" w:type="dxa"/>
            <w:vAlign w:val="bottom"/>
          </w:tcPr>
          <w:p>
            <w:pPr>
              <w:spacing w:after="0"/>
              <w:rPr>
                <w:sz w:val="17"/>
                <w:szCs w:val="17"/>
                <w:color w:val="auto"/>
              </w:rPr>
            </w:pPr>
          </w:p>
        </w:tc>
        <w:tc>
          <w:tcPr>
            <w:tcW w:w="328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year following our first annual general</w:t>
            </w:r>
          </w:p>
        </w:tc>
      </w:tr>
      <w:tr>
        <w:trPr>
          <w:trHeight w:val="201"/>
        </w:trPr>
        <w:tc>
          <w:tcPr>
            <w:tcW w:w="1420" w:type="dxa"/>
            <w:vAlign w:val="bottom"/>
          </w:tcPr>
          <w:p>
            <w:pPr>
              <w:spacing w:after="0"/>
              <w:rPr>
                <w:sz w:val="17"/>
                <w:szCs w:val="17"/>
                <w:color w:val="auto"/>
              </w:rPr>
            </w:pPr>
          </w:p>
        </w:tc>
        <w:tc>
          <w:tcPr>
            <w:tcW w:w="328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meeting, no more than nine months after</w:t>
            </w:r>
          </w:p>
        </w:tc>
      </w:tr>
      <w:tr>
        <w:trPr>
          <w:trHeight w:val="201"/>
        </w:trPr>
        <w:tc>
          <w:tcPr>
            <w:tcW w:w="1420" w:type="dxa"/>
            <w:vAlign w:val="bottom"/>
          </w:tcPr>
          <w:p>
            <w:pPr>
              <w:spacing w:after="0"/>
              <w:rPr>
                <w:sz w:val="17"/>
                <w:szCs w:val="17"/>
                <w:color w:val="auto"/>
              </w:rPr>
            </w:pPr>
          </w:p>
        </w:tc>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our fiscal year-end.</w:t>
            </w: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328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The only matters which must, as a matter</w:t>
            </w:r>
          </w:p>
        </w:tc>
      </w:tr>
      <w:tr>
        <w:trPr>
          <w:trHeight w:val="201"/>
        </w:trPr>
        <w:tc>
          <w:tcPr>
            <w:tcW w:w="1420" w:type="dxa"/>
            <w:vAlign w:val="bottom"/>
          </w:tcPr>
          <w:p>
            <w:pPr>
              <w:spacing w:after="0"/>
              <w:rPr>
                <w:sz w:val="17"/>
                <w:szCs w:val="17"/>
                <w:color w:val="auto"/>
              </w:rPr>
            </w:pPr>
          </w:p>
        </w:tc>
        <w:tc>
          <w:tcPr>
            <w:tcW w:w="328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of Irish company law, be transacted at an</w:t>
            </w:r>
          </w:p>
        </w:tc>
      </w:tr>
      <w:tr>
        <w:trPr>
          <w:trHeight w:val="201"/>
        </w:trPr>
        <w:tc>
          <w:tcPr>
            <w:tcW w:w="142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annual</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general</w:t>
            </w:r>
          </w:p>
        </w:tc>
        <w:tc>
          <w:tcPr>
            <w:tcW w:w="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meeting</w:t>
            </w: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are</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the</w:t>
            </w:r>
          </w:p>
        </w:tc>
      </w:tr>
      <w:tr>
        <w:trPr>
          <w:trHeight w:val="201"/>
        </w:trPr>
        <w:tc>
          <w:tcPr>
            <w:tcW w:w="1420" w:type="dxa"/>
            <w:vAlign w:val="bottom"/>
          </w:tcPr>
          <w:p>
            <w:pPr>
              <w:spacing w:after="0"/>
              <w:rPr>
                <w:sz w:val="17"/>
                <w:szCs w:val="17"/>
                <w:color w:val="auto"/>
              </w:rPr>
            </w:pPr>
          </w:p>
        </w:tc>
        <w:tc>
          <w:tcPr>
            <w:tcW w:w="328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consideration  of  the  Irish  statutory</w:t>
            </w:r>
          </w:p>
        </w:tc>
      </w:tr>
      <w:tr>
        <w:trPr>
          <w:trHeight w:val="201"/>
        </w:trPr>
        <w:tc>
          <w:tcPr>
            <w:tcW w:w="1420" w:type="dxa"/>
            <w:vAlign w:val="bottom"/>
          </w:tcPr>
          <w:p>
            <w:pPr>
              <w:spacing w:after="0"/>
              <w:rPr>
                <w:sz w:val="17"/>
                <w:szCs w:val="17"/>
                <w:color w:val="auto"/>
              </w:rPr>
            </w:pPr>
          </w:p>
        </w:tc>
        <w:tc>
          <w:tcPr>
            <w:tcW w:w="328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financial  statements,  the  report  of  the</w:t>
            </w:r>
          </w:p>
        </w:tc>
      </w:tr>
      <w:tr>
        <w:trPr>
          <w:trHeight w:val="201"/>
        </w:trPr>
        <w:tc>
          <w:tcPr>
            <w:tcW w:w="1420" w:type="dxa"/>
            <w:vAlign w:val="bottom"/>
          </w:tcPr>
          <w:p>
            <w:pPr>
              <w:spacing w:after="0"/>
              <w:rPr>
                <w:sz w:val="17"/>
                <w:szCs w:val="17"/>
                <w:color w:val="auto"/>
              </w:rPr>
            </w:pPr>
          </w:p>
        </w:tc>
        <w:tc>
          <w:tcPr>
            <w:tcW w:w="328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directors, the report of the auditors on</w:t>
            </w:r>
          </w:p>
        </w:tc>
      </w:tr>
      <w:tr>
        <w:trPr>
          <w:trHeight w:val="201"/>
        </w:trPr>
        <w:tc>
          <w:tcPr>
            <w:tcW w:w="1420" w:type="dxa"/>
            <w:vAlign w:val="bottom"/>
          </w:tcPr>
          <w:p>
            <w:pPr>
              <w:spacing w:after="0"/>
              <w:rPr>
                <w:sz w:val="17"/>
                <w:szCs w:val="17"/>
                <w:color w:val="auto"/>
              </w:rPr>
            </w:pPr>
          </w:p>
        </w:tc>
        <w:tc>
          <w:tcPr>
            <w:tcW w:w="328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those statements and that report and a</w:t>
            </w:r>
          </w:p>
        </w:tc>
      </w:tr>
      <w:tr>
        <w:trPr>
          <w:trHeight w:val="201"/>
        </w:trPr>
        <w:tc>
          <w:tcPr>
            <w:tcW w:w="1420" w:type="dxa"/>
            <w:vAlign w:val="bottom"/>
          </w:tcPr>
          <w:p>
            <w:pPr>
              <w:spacing w:after="0"/>
              <w:rPr>
                <w:sz w:val="17"/>
                <w:szCs w:val="17"/>
                <w:color w:val="auto"/>
              </w:rPr>
            </w:pPr>
          </w:p>
        </w:tc>
        <w:tc>
          <w:tcPr>
            <w:tcW w:w="328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w w:val="98"/>
              </w:rPr>
              <w:t>review by the members of our affairs. If no</w:t>
            </w:r>
          </w:p>
        </w:tc>
      </w:tr>
      <w:tr>
        <w:trPr>
          <w:trHeight w:val="201"/>
        </w:trPr>
        <w:tc>
          <w:tcPr>
            <w:tcW w:w="1420" w:type="dxa"/>
            <w:vAlign w:val="bottom"/>
          </w:tcPr>
          <w:p>
            <w:pPr>
              <w:spacing w:after="0"/>
              <w:rPr>
                <w:sz w:val="17"/>
                <w:szCs w:val="17"/>
                <w:color w:val="auto"/>
              </w:rPr>
            </w:pPr>
          </w:p>
        </w:tc>
        <w:tc>
          <w:tcPr>
            <w:tcW w:w="328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resolution  is  made  in  respect  of  the</w:t>
            </w:r>
          </w:p>
        </w:tc>
      </w:tr>
      <w:tr>
        <w:trPr>
          <w:trHeight w:val="201"/>
        </w:trPr>
        <w:tc>
          <w:tcPr>
            <w:tcW w:w="1420" w:type="dxa"/>
            <w:vAlign w:val="bottom"/>
          </w:tcPr>
          <w:p>
            <w:pPr>
              <w:spacing w:after="0"/>
              <w:rPr>
                <w:sz w:val="17"/>
                <w:szCs w:val="17"/>
                <w:color w:val="auto"/>
              </w:rPr>
            </w:pPr>
          </w:p>
        </w:tc>
        <w:tc>
          <w:tcPr>
            <w:tcW w:w="328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reappointment of an auditor at an annual</w:t>
            </w:r>
          </w:p>
        </w:tc>
      </w:tr>
      <w:tr>
        <w:trPr>
          <w:trHeight w:val="201"/>
        </w:trPr>
        <w:tc>
          <w:tcPr>
            <w:tcW w:w="1420" w:type="dxa"/>
            <w:vAlign w:val="bottom"/>
          </w:tcPr>
          <w:p>
            <w:pPr>
              <w:spacing w:after="0"/>
              <w:rPr>
                <w:sz w:val="17"/>
                <w:szCs w:val="17"/>
                <w:color w:val="auto"/>
              </w:rPr>
            </w:pPr>
          </w:p>
        </w:tc>
        <w:tc>
          <w:tcPr>
            <w:tcW w:w="328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general meeting, the previous auditor will</w:t>
            </w:r>
          </w:p>
        </w:tc>
      </w:tr>
      <w:tr>
        <w:trPr>
          <w:trHeight w:val="217"/>
        </w:trPr>
        <w:tc>
          <w:tcPr>
            <w:tcW w:w="1420" w:type="dxa"/>
            <w:vAlign w:val="bottom"/>
          </w:tcPr>
          <w:p>
            <w:pPr>
              <w:spacing w:after="0"/>
              <w:rPr>
                <w:sz w:val="18"/>
                <w:szCs w:val="18"/>
                <w:color w:val="auto"/>
              </w:rPr>
            </w:pPr>
          </w:p>
        </w:tc>
        <w:tc>
          <w:tcPr>
            <w:tcW w:w="2980" w:type="dxa"/>
            <w:vAlign w:val="bottom"/>
            <w:gridSpan w:val="4"/>
          </w:tcPr>
          <w:p>
            <w:pPr>
              <w:ind w:left="380"/>
              <w:spacing w:after="0"/>
              <w:rPr>
                <w:sz w:val="20"/>
                <w:szCs w:val="20"/>
                <w:color w:val="auto"/>
              </w:rPr>
            </w:pPr>
            <w:r>
              <w:rPr>
                <w:rFonts w:ascii="Times New Roman" w:cs="Times New Roman" w:eastAsia="Times New Roman" w:hAnsi="Times New Roman"/>
                <w:sz w:val="17"/>
                <w:szCs w:val="17"/>
                <w:color w:val="auto"/>
                <w:w w:val="97"/>
              </w:rPr>
              <w:t>be deemed to have continued in office.</w:t>
            </w:r>
          </w:p>
        </w:tc>
        <w:tc>
          <w:tcPr>
            <w:tcW w:w="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jc w:val="both"/>
        <w:ind w:right="619"/>
        <w:spacing w:after="0" w:line="255" w:lineRule="auto"/>
        <w:rPr>
          <w:sz w:val="20"/>
          <w:szCs w:val="20"/>
          <w:color w:val="auto"/>
        </w:rPr>
      </w:pPr>
      <w:r>
        <w:rPr>
          <w:rFonts w:ascii="Times New Roman" w:cs="Times New Roman" w:eastAsia="Times New Roman" w:hAnsi="Times New Roman"/>
          <w:sz w:val="17"/>
          <w:szCs w:val="17"/>
          <w:color w:val="auto"/>
        </w:rPr>
        <w:t>Typical bylaws provide that annual meetings of shareholders are to be held on a date and at a time fixed by the board of directors.</w:t>
      </w:r>
    </w:p>
    <w:p>
      <w:pPr>
        <w:spacing w:after="0" w:line="3582" w:lineRule="exact"/>
        <w:rPr>
          <w:sz w:val="20"/>
          <w:szCs w:val="20"/>
          <w:color w:val="auto"/>
        </w:rPr>
      </w:pPr>
    </w:p>
    <w:p>
      <w:pPr>
        <w:sectPr>
          <w:pgSz w:w="11900" w:h="16838" w:orient="portrait"/>
          <w:cols w:equalWidth="0" w:num="2">
            <w:col w:w="5300" w:space="200"/>
            <w:col w:w="3519"/>
          </w:cols>
          <w:pgMar w:left="1440" w:top="253" w:right="1440" w:bottom="1440" w:gutter="0" w:footer="0" w:header="0"/>
          <w:type w:val="continuous"/>
        </w:sectPr>
      </w:pPr>
    </w:p>
    <w:p>
      <w:pPr>
        <w:ind w:left="600"/>
        <w:spacing w:after="0"/>
        <w:tabs>
          <w:tab w:leader="none" w:pos="2380" w:val="left"/>
        </w:tabs>
        <w:rPr>
          <w:sz w:val="20"/>
          <w:szCs w:val="20"/>
          <w:color w:val="auto"/>
        </w:rPr>
      </w:pPr>
      <w:r>
        <w:rPr>
          <w:rFonts w:ascii="Times New Roman" w:cs="Times New Roman" w:eastAsia="Times New Roman" w:hAnsi="Times New Roman"/>
          <w:sz w:val="17"/>
          <w:szCs w:val="17"/>
          <w:color w:val="auto"/>
        </w:rPr>
        <w:t>General Meeting</w:t>
      </w:r>
      <w:r>
        <w:rPr>
          <w:sz w:val="20"/>
          <w:szCs w:val="20"/>
          <w:color w:val="auto"/>
        </w:rPr>
        <w:tab/>
      </w:r>
      <w:r>
        <w:rPr>
          <w:rFonts w:ascii="Times New Roman" w:cs="Times New Roman" w:eastAsia="Times New Roman" w:hAnsi="Times New Roman"/>
          <w:sz w:val="17"/>
          <w:szCs w:val="17"/>
          <w:color w:val="auto"/>
        </w:rPr>
        <w:t>Our extraordinary general meetings may</w:t>
      </w:r>
    </w:p>
    <w:p>
      <w:pPr>
        <w:spacing w:after="0" w:line="2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be convened by (i) our Board of Directors,</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(ii) on requisition of shareholders holding</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not less than 10% of our paid up share</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capital carrying voting rights or (iii) on</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requisition of our auditors. Extraordinary</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general meetings are generally held for the</w:t>
      </w:r>
    </w:p>
    <w:p>
      <w:pPr>
        <w:spacing w:after="0" w:line="17" w:lineRule="exact"/>
        <w:rPr>
          <w:sz w:val="20"/>
          <w:szCs w:val="20"/>
          <w:color w:val="auto"/>
        </w:rPr>
      </w:pPr>
    </w:p>
    <w:p>
      <w:pPr>
        <w:ind w:left="2400"/>
        <w:spacing w:after="0"/>
        <w:tabs>
          <w:tab w:leader="none" w:pos="3200" w:val="left"/>
          <w:tab w:leader="none" w:pos="3580" w:val="left"/>
          <w:tab w:leader="none" w:pos="4500" w:val="left"/>
        </w:tabs>
        <w:rPr>
          <w:sz w:val="20"/>
          <w:szCs w:val="20"/>
          <w:color w:val="auto"/>
        </w:rPr>
      </w:pPr>
      <w:r>
        <w:rPr>
          <w:rFonts w:ascii="Times New Roman" w:cs="Times New Roman" w:eastAsia="Times New Roman" w:hAnsi="Times New Roman"/>
          <w:sz w:val="17"/>
          <w:szCs w:val="17"/>
          <w:color w:val="auto"/>
        </w:rPr>
        <w:t>purposes</w:t>
        <w:tab/>
        <w:t>of</w:t>
        <w:tab/>
        <w:t>approving</w:t>
      </w:r>
      <w:r>
        <w:rPr>
          <w:sz w:val="20"/>
          <w:szCs w:val="20"/>
          <w:color w:val="auto"/>
        </w:rPr>
        <w:tab/>
      </w:r>
      <w:r>
        <w:rPr>
          <w:rFonts w:ascii="Times New Roman" w:cs="Times New Roman" w:eastAsia="Times New Roman" w:hAnsi="Times New Roman"/>
          <w:sz w:val="16"/>
          <w:szCs w:val="16"/>
          <w:color w:val="auto"/>
        </w:rPr>
        <w:t>shareholder</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resolutions as may be required from time</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to time.</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 </w:t>
      </w:r>
    </w:p>
    <w:p>
      <w:pPr>
        <w:spacing w:after="0" w:line="2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599"/>
        <w:spacing w:after="0" w:line="252" w:lineRule="auto"/>
        <w:rPr>
          <w:sz w:val="20"/>
          <w:szCs w:val="20"/>
          <w:color w:val="auto"/>
        </w:rPr>
      </w:pPr>
      <w:r>
        <w:rPr>
          <w:rFonts w:ascii="Times New Roman" w:cs="Times New Roman" w:eastAsia="Times New Roman" w:hAnsi="Times New Roman"/>
          <w:sz w:val="17"/>
          <w:szCs w:val="17"/>
          <w:color w:val="auto"/>
        </w:rPr>
        <w:t>Under Delaware law, a special meeting of shareholders may be called by the board of directors or by any other person authorized to do so in the certificate of incorporation or the bylaws.</w:t>
      </w:r>
    </w:p>
    <w:p>
      <w:pPr>
        <w:sectPr>
          <w:pgSz w:w="11900" w:h="16838" w:orient="portrait"/>
          <w:cols w:equalWidth="0" w:num="2">
            <w:col w:w="5300" w:space="200"/>
            <w:col w:w="3519"/>
          </w:cols>
          <w:pgMar w:left="1440" w:top="253" w:right="1440" w:bottom="1440" w:gutter="0" w:footer="0" w:header="0"/>
          <w:type w:val="continuous"/>
        </w:sectPr>
      </w:pPr>
    </w:p>
    <w:bookmarkStart w:id="22" w:name="page23"/>
    <w:bookmarkEnd w:id="22"/>
    <w:tbl>
      <w:tblPr>
        <w:tblLayout w:type="fixed"/>
        <w:tblInd w:w="600" w:type="dxa"/>
        <w:tblCellMar>
          <w:top w:w="0" w:type="dxa"/>
          <w:left w:w="0" w:type="dxa"/>
          <w:bottom w:w="0" w:type="dxa"/>
          <w:right w:w="0" w:type="dxa"/>
        </w:tblCellMar>
      </w:tblPr>
      <w:tr>
        <w:trPr>
          <w:trHeight w:val="150"/>
        </w:trPr>
        <w:tc>
          <w:tcPr>
            <w:tcW w:w="1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20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369"/>
        </w:trPr>
        <w:tc>
          <w:tcPr>
            <w:tcW w:w="14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3"/>
                <w:szCs w:val="13"/>
                <w:b w:val="1"/>
                <w:bCs w:val="1"/>
                <w:color w:val="auto"/>
              </w:rPr>
              <w:t>IRELAND</w:t>
            </w:r>
          </w:p>
        </w:tc>
      </w:tr>
      <w:tr>
        <w:trPr>
          <w:trHeight w:val="189"/>
        </w:trPr>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If our directors become aware that our net</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assets are half or less of the amount of our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called up share capital, our directors must</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convene an extraordinary general meeting</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of our shareholders not later than 28 days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from the date that they learn of this fact.</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This meeting must be convened for 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purposes of considering whether any, and</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if so what, measures should be taken to</w:t>
            </w:r>
          </w:p>
        </w:tc>
      </w:tr>
      <w:tr>
        <w:trPr>
          <w:trHeight w:val="217"/>
        </w:trPr>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address the situation.</w:t>
            </w:r>
          </w:p>
        </w:tc>
      </w:tr>
      <w:tr>
        <w:trPr>
          <w:trHeight w:val="385"/>
        </w:trPr>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Notice of General</w:t>
            </w: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Notice of a general meeting must be given</w:t>
            </w:r>
          </w:p>
        </w:tc>
      </w:tr>
      <w:tr>
        <w:trPr>
          <w:trHeight w:val="201"/>
        </w:trPr>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Meetings</w:t>
            </w: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 all our shareholders and to our auditors.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The minimum notice periods are 21 clear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days’  notice  in  writing  for  an  annual</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general  meeting  or  an  extraordinary</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general  meeting  to  approve  a  special</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resolution and 14 clear days’ notice in</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writing for any other extraordinary general</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meeting (if the company offers facilities to</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members to vote by electronic means and</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shareholders  have  passed  a  special</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resolution at the immediately preceding</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general meeting approving such shortened</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notice period). General meetings may be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called by shorter notice, but only with 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consent of our auditors and all of our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shareholders entitled to attend and vote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thereat. Because of the 21-clear day and</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8"/>
              </w:rPr>
              <w:t>14-clear day requirements described in this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paragraph,   the   Constitution   includes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provisions reflecting these requirements of</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Irish law.</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 the case of an extraordinary general</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meeting convened by our shareholders, 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proposed purpose of the meeting must be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set out in the requisition notice. Upon</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8"/>
              </w:rPr>
              <w:t>receipt of this requisition notice, our Board</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of Directors has 21 days to convene a</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meeting of our shareholders to vote on 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matters set out in the requisition notice.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This meeting must be held within two</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months of the receipt of the requisition</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notice. If our Board of Directors does not</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convene the meeting within such 21-day</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period, the requisitioning shareholders, or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any of them representing more than one-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8"/>
              </w:rPr>
              <w:t>half of the total voting rights of all of them,</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may themselves convene a meeting, which</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meeting must be held within three months</w:t>
            </w:r>
          </w:p>
        </w:tc>
      </w:tr>
      <w:tr>
        <w:trPr>
          <w:trHeight w:val="217"/>
        </w:trPr>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of the receipt of the requisition notice.</w:t>
            </w:r>
          </w:p>
        </w:tc>
      </w:tr>
      <w:tr>
        <w:trPr>
          <w:trHeight w:val="702"/>
        </w:trPr>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2"/>
          </w:tcPr>
          <w:p>
            <w:pPr>
              <w:ind w:left="2220"/>
              <w:spacing w:after="0"/>
              <w:rPr>
                <w:sz w:val="20"/>
                <w:szCs w:val="20"/>
                <w:color w:val="auto"/>
              </w:rPr>
            </w:pPr>
            <w:r>
              <w:rPr>
                <w:rFonts w:ascii="Times New Roman" w:cs="Times New Roman" w:eastAsia="Times New Roman" w:hAnsi="Times New Roman"/>
                <w:sz w:val="17"/>
                <w:szCs w:val="17"/>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111760</wp:posOffset>
            </wp:positionV>
            <wp:extent cx="649732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18472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599"/>
        <w:spacing w:after="0" w:line="249" w:lineRule="auto"/>
        <w:rPr>
          <w:sz w:val="20"/>
          <w:szCs w:val="20"/>
          <w:color w:val="auto"/>
        </w:rPr>
      </w:pPr>
      <w:r>
        <w:rPr>
          <w:rFonts w:ascii="Times New Roman" w:cs="Times New Roman" w:eastAsia="Times New Roman" w:hAnsi="Times New Roman"/>
          <w:sz w:val="17"/>
          <w:szCs w:val="17"/>
          <w:color w:val="auto"/>
        </w:rPr>
        <w:t>Under Delaware law, unless otherwise provided in the certificate of incorporation or bylaws, written notice of any meeting of the stockholders must be given to each stockholder entitled to vote at the meeting not less than 10 nor more than 60 days before the date of the meeting and shall specify the place, date, hour and purpose or purposes of the meeting.</w:t>
      </w:r>
    </w:p>
    <w:p>
      <w:pPr>
        <w:sectPr>
          <w:pgSz w:w="11900" w:h="16838" w:orient="portrait"/>
          <w:cols w:equalWidth="0" w:num="2">
            <w:col w:w="5320" w:space="180"/>
            <w:col w:w="3519"/>
          </w:cols>
          <w:pgMar w:left="1440" w:top="253" w:right="1440" w:bottom="1440" w:gutter="0" w:footer="0" w:header="0"/>
        </w:sectPr>
      </w:pPr>
    </w:p>
    <w:bookmarkStart w:id="23" w:name="page24"/>
    <w:bookmarkEnd w:id="23"/>
    <w:tbl>
      <w:tblPr>
        <w:tblLayout w:type="fixed"/>
        <w:tblInd w:w="600" w:type="dxa"/>
        <w:tblCellMar>
          <w:top w:w="0" w:type="dxa"/>
          <w:left w:w="0" w:type="dxa"/>
          <w:bottom w:w="0" w:type="dxa"/>
          <w:right w:w="0" w:type="dxa"/>
        </w:tblCellMar>
      </w:tblPr>
      <w:tr>
        <w:trPr>
          <w:trHeight w:val="150"/>
        </w:trPr>
        <w:tc>
          <w:tcPr>
            <w:tcW w:w="1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20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369"/>
        </w:trPr>
        <w:tc>
          <w:tcPr>
            <w:tcW w:w="14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3"/>
                <w:szCs w:val="13"/>
                <w:b w:val="1"/>
                <w:bCs w:val="1"/>
                <w:color w:val="auto"/>
              </w:rPr>
              <w:t>IRELAND</w:t>
            </w:r>
          </w:p>
        </w:tc>
      </w:tr>
      <w:tr>
        <w:trPr>
          <w:trHeight w:val="189"/>
        </w:trPr>
        <w:tc>
          <w:tcPr>
            <w:tcW w:w="160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Quorum</w:t>
            </w:r>
          </w:p>
        </w:tc>
        <w:tc>
          <w:tcPr>
            <w:tcW w:w="200" w:type="dxa"/>
            <w:vAlign w:val="bottom"/>
          </w:tcPr>
          <w:p>
            <w:pPr>
              <w:spacing w:after="0"/>
              <w:rPr>
                <w:sz w:val="16"/>
                <w:szCs w:val="16"/>
                <w:color w:val="auto"/>
              </w:rPr>
            </w:pPr>
          </w:p>
        </w:tc>
        <w:tc>
          <w:tcPr>
            <w:tcW w:w="29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w w:val="97"/>
              </w:rPr>
              <w:t>The presence, in person or by proxy, of one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8"/>
              </w:rPr>
              <w:t>or more persons holding or representing by</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8"/>
              </w:rPr>
              <w:t>proxy at least 25% of the votes that may be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cast  at  the  relevant  time  constitutes  a</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quorum for the conduct of business at a</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general meeting. No business may take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place at a general meeting if a quorum is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not present in person or by proxy. Our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Board of Directors has no authority to</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waive quorum requirements stipulated in</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the Constitution. Abstentions and broker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non-votes will be counted as present for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purposes of determining whether there is a</w:t>
            </w:r>
          </w:p>
        </w:tc>
      </w:tr>
      <w:tr>
        <w:trPr>
          <w:trHeight w:val="217"/>
        </w:trPr>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quorum in respect of the proposals</w:t>
            </w:r>
          </w:p>
        </w:tc>
      </w:tr>
    </w:tbl>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18472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14" w:lineRule="exact"/>
        <w:rPr>
          <w:sz w:val="20"/>
          <w:szCs w:val="20"/>
          <w:color w:val="auto"/>
        </w:rPr>
      </w:pPr>
    </w:p>
    <w:p>
      <w:pPr>
        <w:jc w:val="both"/>
        <w:ind w:right="599"/>
        <w:spacing w:after="0" w:line="250" w:lineRule="auto"/>
        <w:rPr>
          <w:sz w:val="20"/>
          <w:szCs w:val="20"/>
          <w:color w:val="auto"/>
        </w:rPr>
      </w:pPr>
      <w:r>
        <w:rPr>
          <w:rFonts w:ascii="Times New Roman" w:cs="Times New Roman" w:eastAsia="Times New Roman" w:hAnsi="Times New Roman"/>
          <w:sz w:val="17"/>
          <w:szCs w:val="17"/>
          <w:color w:val="auto"/>
        </w:rPr>
        <w:t>Under Delaware law, a corporation’s certificate of incorporation or bylaws can specify the number of shares which constitute the quorum required to conduct business at a meeting, provided that in no event shall a quorum consist of less than one-third of the shares entitled to vote at a meeting.</w:t>
      </w:r>
    </w:p>
    <w:p>
      <w:pPr>
        <w:spacing w:after="0" w:line="1379" w:lineRule="exact"/>
        <w:rPr>
          <w:sz w:val="20"/>
          <w:szCs w:val="20"/>
          <w:color w:val="auto"/>
        </w:rPr>
      </w:pPr>
    </w:p>
    <w:p>
      <w:pPr>
        <w:sectPr>
          <w:pgSz w:w="11900" w:h="16838" w:orient="portrait"/>
          <w:cols w:equalWidth="0" w:num="2">
            <w:col w:w="5320" w:space="180"/>
            <w:col w:w="3519"/>
          </w:cols>
          <w:pgMar w:left="1440" w:top="253" w:right="1440" w:bottom="1440" w:gutter="0" w:footer="0" w:header="0"/>
        </w:sectPr>
      </w:pPr>
    </w:p>
    <w:p>
      <w:pPr>
        <w:ind w:left="600"/>
        <w:spacing w:after="0"/>
        <w:tabs>
          <w:tab w:leader="none" w:pos="2380" w:val="left"/>
          <w:tab w:leader="none" w:pos="2940" w:val="left"/>
          <w:tab w:leader="none" w:pos="3400" w:val="left"/>
          <w:tab w:leader="none" w:pos="3840" w:val="left"/>
          <w:tab w:leader="none" w:pos="4060" w:val="left"/>
          <w:tab w:leader="none" w:pos="4980" w:val="left"/>
        </w:tabs>
        <w:rPr>
          <w:sz w:val="20"/>
          <w:szCs w:val="20"/>
          <w:color w:val="auto"/>
        </w:rPr>
      </w:pPr>
      <w:r>
        <w:rPr>
          <w:rFonts w:ascii="Times New Roman" w:cs="Times New Roman" w:eastAsia="Times New Roman" w:hAnsi="Times New Roman"/>
          <w:sz w:val="17"/>
          <w:szCs w:val="17"/>
          <w:color w:val="auto"/>
        </w:rPr>
        <w:t>Proxy</w:t>
      </w:r>
      <w:r>
        <w:rPr>
          <w:sz w:val="20"/>
          <w:szCs w:val="20"/>
          <w:color w:val="auto"/>
        </w:rPr>
        <w:tab/>
      </w:r>
      <w:r>
        <w:rPr>
          <w:rFonts w:ascii="Times New Roman" w:cs="Times New Roman" w:eastAsia="Times New Roman" w:hAnsi="Times New Roman"/>
          <w:sz w:val="17"/>
          <w:szCs w:val="17"/>
          <w:color w:val="auto"/>
        </w:rPr>
        <w:t>Under</w:t>
        <w:tab/>
        <w:t>Irish</w:t>
        <w:tab/>
        <w:t>law,</w:t>
        <w:tab/>
        <w:t>a</w:t>
        <w:tab/>
        <w:t>shareholder</w:t>
        <w:tab/>
        <w:t>may</w:t>
      </w:r>
    </w:p>
    <w:p>
      <w:pPr>
        <w:spacing w:after="0" w:line="2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designate another person to attend, speak</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and  vote  at  a  general  meeting  of  the</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company on their behalf by proxy, which</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proxy need not be a shareholder.</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 </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Where interests in shares are held by a</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nominee trust company, this company may</w:t>
      </w:r>
    </w:p>
    <w:p>
      <w:pPr>
        <w:spacing w:after="0" w:line="1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exercise the rights of the beneficial holders</w:t>
      </w:r>
    </w:p>
    <w:p>
      <w:pPr>
        <w:spacing w:after="0" w:line="1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on their behalf as their proxy.</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 </w:t>
      </w:r>
    </w:p>
    <w:p>
      <w:pPr>
        <w:spacing w:after="0" w:line="5" w:lineRule="exact"/>
        <w:rPr>
          <w:sz w:val="20"/>
          <w:szCs w:val="20"/>
          <w:color w:val="auto"/>
        </w:rPr>
      </w:pPr>
    </w:p>
    <w:p>
      <w:pPr>
        <w:ind w:left="2400"/>
        <w:spacing w:after="0"/>
        <w:tabs>
          <w:tab w:leader="none" w:pos="2980" w:val="left"/>
          <w:tab w:leader="none" w:pos="3540" w:val="left"/>
          <w:tab w:leader="none" w:pos="4000" w:val="left"/>
          <w:tab w:leader="none" w:pos="4320" w:val="left"/>
          <w:tab w:leader="none" w:pos="5120" w:val="left"/>
        </w:tabs>
        <w:rPr>
          <w:sz w:val="20"/>
          <w:szCs w:val="20"/>
          <w:color w:val="auto"/>
        </w:rPr>
      </w:pPr>
      <w:r>
        <w:rPr>
          <w:rFonts w:ascii="Times New Roman" w:cs="Times New Roman" w:eastAsia="Times New Roman" w:hAnsi="Times New Roman"/>
          <w:sz w:val="17"/>
          <w:szCs w:val="17"/>
          <w:color w:val="auto"/>
        </w:rPr>
        <w:t>Voting</w:t>
        <w:tab/>
        <w:t>rights</w:t>
        <w:tab/>
        <w:t>may</w:t>
        <w:tab/>
        <w:t>be</w:t>
        <w:tab/>
        <w:t>exercised</w:t>
      </w:r>
      <w:r>
        <w:rPr>
          <w:sz w:val="20"/>
          <w:szCs w:val="20"/>
          <w:color w:val="auto"/>
        </w:rPr>
        <w:tab/>
      </w:r>
      <w:r>
        <w:rPr>
          <w:rFonts w:ascii="Times New Roman" w:cs="Times New Roman" w:eastAsia="Times New Roman" w:hAnsi="Times New Roman"/>
          <w:sz w:val="16"/>
          <w:szCs w:val="16"/>
          <w:color w:val="auto"/>
        </w:rPr>
        <w:t>by</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shareholders registered in the share register</w:t>
      </w:r>
    </w:p>
    <w:p>
      <w:pPr>
        <w:spacing w:after="0" w:line="1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as of the record date for the meeting or by</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a duly appointed proxy of such a registered</w:t>
      </w:r>
    </w:p>
    <w:p>
      <w:pPr>
        <w:spacing w:after="0" w:line="1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shareholder, which proxy need not be a</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shareholder. Where interests in shares are</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held by a nominee trust company, this</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company may exercise the rights of the</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beneficial holders on their behalf as their</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proxy. All proxies must be appointed in</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accordance  with  the  Constitution.  The</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Constitution permits the appointment of</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proxies by our shareholders to be notified</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to us electronically, when permitted by our</w:t>
      </w:r>
    </w:p>
    <w:p>
      <w:pPr>
        <w:spacing w:after="0" w:line="1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directors.</w:t>
      </w:r>
    </w:p>
    <w:p>
      <w:pPr>
        <w:spacing w:after="0" w:line="20" w:lineRule="exact"/>
        <w:rPr>
          <w:sz w:val="20"/>
          <w:szCs w:val="20"/>
          <w:color w:val="auto"/>
        </w:rPr>
      </w:pPr>
      <w:r>
        <w:rPr>
          <w:sz w:val="20"/>
          <w:szCs w:val="20"/>
          <w:color w:val="auto"/>
        </w:rPr>
        <w:br w:type="column"/>
      </w:r>
    </w:p>
    <w:p>
      <w:pPr>
        <w:jc w:val="both"/>
        <w:ind w:right="599"/>
        <w:spacing w:after="0" w:line="249" w:lineRule="auto"/>
        <w:rPr>
          <w:sz w:val="20"/>
          <w:szCs w:val="20"/>
          <w:color w:val="auto"/>
        </w:rPr>
      </w:pPr>
      <w:r>
        <w:rPr>
          <w:rFonts w:ascii="Times New Roman" w:cs="Times New Roman" w:eastAsia="Times New Roman" w:hAnsi="Times New Roman"/>
          <w:sz w:val="17"/>
          <w:szCs w:val="17"/>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3388" w:lineRule="exact"/>
        <w:rPr>
          <w:sz w:val="20"/>
          <w:szCs w:val="20"/>
          <w:color w:val="auto"/>
        </w:rPr>
      </w:pPr>
    </w:p>
    <w:p>
      <w:pPr>
        <w:sectPr>
          <w:pgSz w:w="11900" w:h="16838" w:orient="portrait"/>
          <w:cols w:equalWidth="0" w:num="2">
            <w:col w:w="5300" w:space="200"/>
            <w:col w:w="3519"/>
          </w:cols>
          <w:pgMar w:left="1440" w:top="253" w:right="1440" w:bottom="1440" w:gutter="0" w:footer="0" w:header="0"/>
          <w:type w:val="continuous"/>
        </w:sectPr>
      </w:pPr>
    </w:p>
    <w:p>
      <w:pPr>
        <w:ind w:left="600"/>
        <w:spacing w:after="0"/>
        <w:tabs>
          <w:tab w:leader="none" w:pos="2380" w:val="left"/>
        </w:tabs>
        <w:rPr>
          <w:sz w:val="20"/>
          <w:szCs w:val="20"/>
          <w:color w:val="auto"/>
        </w:rPr>
      </w:pPr>
      <w:r>
        <w:rPr>
          <w:rFonts w:ascii="Times New Roman" w:cs="Times New Roman" w:eastAsia="Times New Roman" w:hAnsi="Times New Roman"/>
          <w:sz w:val="17"/>
          <w:szCs w:val="17"/>
          <w:color w:val="auto"/>
        </w:rPr>
        <w:t>Issue of New Shares</w:t>
      </w:r>
      <w:r>
        <w:rPr>
          <w:sz w:val="20"/>
          <w:szCs w:val="20"/>
          <w:color w:val="auto"/>
        </w:rPr>
        <w:tab/>
      </w:r>
      <w:r>
        <w:rPr>
          <w:rFonts w:ascii="Times New Roman" w:cs="Times New Roman" w:eastAsia="Times New Roman" w:hAnsi="Times New Roman"/>
          <w:sz w:val="17"/>
          <w:szCs w:val="17"/>
          <w:color w:val="auto"/>
        </w:rPr>
        <w:t>Under  the  Constitution,  we  may  issue</w:t>
      </w:r>
    </w:p>
    <w:p>
      <w:pPr>
        <w:spacing w:after="0" w:line="2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shares subject to the maximum authorized</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share capital contained in the Constitution.</w:t>
      </w:r>
    </w:p>
    <w:p>
      <w:pPr>
        <w:spacing w:after="0" w:line="5" w:lineRule="exact"/>
        <w:rPr>
          <w:sz w:val="20"/>
          <w:szCs w:val="20"/>
          <w:color w:val="auto"/>
        </w:rPr>
      </w:pPr>
    </w:p>
    <w:p>
      <w:pPr>
        <w:ind w:left="2400"/>
        <w:spacing w:after="0"/>
        <w:tabs>
          <w:tab w:leader="none" w:pos="2780" w:val="left"/>
          <w:tab w:leader="none" w:pos="3620" w:val="left"/>
          <w:tab w:leader="none" w:pos="4120" w:val="left"/>
          <w:tab w:leader="none" w:pos="4700" w:val="left"/>
          <w:tab w:leader="none" w:pos="5120" w:val="left"/>
        </w:tabs>
        <w:rPr>
          <w:sz w:val="20"/>
          <w:szCs w:val="20"/>
          <w:color w:val="auto"/>
        </w:rPr>
      </w:pPr>
      <w:r>
        <w:rPr>
          <w:rFonts w:ascii="Times New Roman" w:cs="Times New Roman" w:eastAsia="Times New Roman" w:hAnsi="Times New Roman"/>
          <w:sz w:val="17"/>
          <w:szCs w:val="17"/>
          <w:color w:val="auto"/>
        </w:rPr>
        <w:t>The</w:t>
        <w:tab/>
        <w:t>authorized</w:t>
        <w:tab/>
        <w:t>share</w:t>
        <w:tab/>
        <w:t>capital</w:t>
        <w:tab/>
        <w:t>may</w:t>
      </w:r>
      <w:r>
        <w:rPr>
          <w:sz w:val="20"/>
          <w:szCs w:val="20"/>
          <w:color w:val="auto"/>
        </w:rPr>
        <w:tab/>
      </w:r>
      <w:r>
        <w:rPr>
          <w:rFonts w:ascii="Times New Roman" w:cs="Times New Roman" w:eastAsia="Times New Roman" w:hAnsi="Times New Roman"/>
          <w:sz w:val="16"/>
          <w:szCs w:val="16"/>
          <w:color w:val="auto"/>
        </w:rPr>
        <w:t>be</w:t>
      </w:r>
    </w:p>
    <w:p>
      <w:pPr>
        <w:spacing w:after="0" w:line="5" w:lineRule="exact"/>
        <w:rPr>
          <w:sz w:val="20"/>
          <w:szCs w:val="20"/>
          <w:color w:val="auto"/>
        </w:rPr>
      </w:pPr>
    </w:p>
    <w:p>
      <w:pPr>
        <w:ind w:left="2400"/>
        <w:spacing w:after="0"/>
        <w:tabs>
          <w:tab w:leader="none" w:pos="3140" w:val="left"/>
          <w:tab w:leader="none" w:pos="3420" w:val="left"/>
          <w:tab w:leader="none" w:pos="4100" w:val="left"/>
          <w:tab w:leader="none" w:pos="4400" w:val="left"/>
          <w:tab w:leader="none" w:pos="4620" w:val="left"/>
        </w:tabs>
        <w:rPr>
          <w:sz w:val="20"/>
          <w:szCs w:val="20"/>
          <w:color w:val="auto"/>
        </w:rPr>
      </w:pPr>
      <w:r>
        <w:rPr>
          <w:rFonts w:ascii="Times New Roman" w:cs="Times New Roman" w:eastAsia="Times New Roman" w:hAnsi="Times New Roman"/>
          <w:sz w:val="17"/>
          <w:szCs w:val="17"/>
          <w:color w:val="auto"/>
        </w:rPr>
        <w:t>increased</w:t>
        <w:tab/>
        <w:t>or</w:t>
        <w:tab/>
        <w:t>reduced</w:t>
        <w:tab/>
        <w:t>by</w:t>
        <w:tab/>
        <w:t>a</w:t>
      </w:r>
      <w:r>
        <w:rPr>
          <w:sz w:val="20"/>
          <w:szCs w:val="20"/>
          <w:color w:val="auto"/>
        </w:rPr>
        <w:tab/>
      </w:r>
      <w:r>
        <w:rPr>
          <w:rFonts w:ascii="Times New Roman" w:cs="Times New Roman" w:eastAsia="Times New Roman" w:hAnsi="Times New Roman"/>
          <w:sz w:val="16"/>
          <w:szCs w:val="16"/>
          <w:color w:val="auto"/>
        </w:rPr>
        <w:t>resolution</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approved by a simple majority of the votes</w:t>
      </w:r>
    </w:p>
    <w:p>
      <w:pPr>
        <w:spacing w:after="0" w:line="17" w:lineRule="exact"/>
        <w:rPr>
          <w:sz w:val="20"/>
          <w:szCs w:val="20"/>
          <w:color w:val="auto"/>
        </w:rPr>
      </w:pPr>
    </w:p>
    <w:p>
      <w:pPr>
        <w:ind w:left="2400"/>
        <w:spacing w:after="0"/>
        <w:tabs>
          <w:tab w:leader="none" w:pos="2820" w:val="left"/>
          <w:tab w:leader="none" w:pos="3100" w:val="left"/>
          <w:tab w:leader="none" w:pos="3360" w:val="left"/>
          <w:tab w:leader="none" w:pos="4020" w:val="left"/>
          <w:tab w:leader="none" w:pos="4740" w:val="left"/>
          <w:tab w:leader="none" w:pos="5060" w:val="left"/>
        </w:tabs>
        <w:rPr>
          <w:sz w:val="20"/>
          <w:szCs w:val="20"/>
          <w:color w:val="auto"/>
        </w:rPr>
      </w:pPr>
      <w:r>
        <w:rPr>
          <w:rFonts w:ascii="Times New Roman" w:cs="Times New Roman" w:eastAsia="Times New Roman" w:hAnsi="Times New Roman"/>
          <w:sz w:val="17"/>
          <w:szCs w:val="17"/>
          <w:color w:val="auto"/>
        </w:rPr>
        <w:t>cast</w:t>
        <w:tab/>
        <w:t>at</w:t>
        <w:tab/>
        <w:t>a</w:t>
        <w:tab/>
        <w:t>general</w:t>
        <w:tab/>
        <w:t>meeting</w:t>
        <w:tab/>
        <w:t>of</w:t>
      </w:r>
      <w:r>
        <w:rPr>
          <w:sz w:val="20"/>
          <w:szCs w:val="20"/>
          <w:color w:val="auto"/>
        </w:rPr>
        <w:tab/>
      </w:r>
      <w:r>
        <w:rPr>
          <w:rFonts w:ascii="Times New Roman" w:cs="Times New Roman" w:eastAsia="Times New Roman" w:hAnsi="Times New Roman"/>
          <w:sz w:val="16"/>
          <w:szCs w:val="16"/>
          <w:color w:val="auto"/>
        </w:rPr>
        <w:t>our</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shareholders, referred to under Irish law as</w:t>
      </w:r>
    </w:p>
    <w:p>
      <w:pPr>
        <w:spacing w:after="0" w:line="1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an “ordinary resolution.” As a matter of</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Irish law, the directors of a company may</w:t>
      </w:r>
    </w:p>
    <w:p>
      <w:pPr>
        <w:spacing w:after="0" w:line="5" w:lineRule="exact"/>
        <w:rPr>
          <w:sz w:val="20"/>
          <w:szCs w:val="20"/>
          <w:color w:val="auto"/>
        </w:rPr>
      </w:pPr>
    </w:p>
    <w:p>
      <w:pPr>
        <w:ind w:left="2400"/>
        <w:spacing w:after="0"/>
        <w:tabs>
          <w:tab w:leader="none" w:pos="2920" w:val="left"/>
          <w:tab w:leader="none" w:pos="3380" w:val="left"/>
          <w:tab w:leader="none" w:pos="4160" w:val="left"/>
          <w:tab w:leader="none" w:pos="4760" w:val="left"/>
        </w:tabs>
        <w:rPr>
          <w:sz w:val="20"/>
          <w:szCs w:val="20"/>
          <w:color w:val="auto"/>
        </w:rPr>
      </w:pPr>
      <w:r>
        <w:rPr>
          <w:rFonts w:ascii="Times New Roman" w:cs="Times New Roman" w:eastAsia="Times New Roman" w:hAnsi="Times New Roman"/>
          <w:sz w:val="17"/>
          <w:szCs w:val="17"/>
          <w:color w:val="auto"/>
        </w:rPr>
        <w:t>issue</w:t>
        <w:tab/>
        <w:t>new</w:t>
        <w:tab/>
        <w:t>ordinary</w:t>
        <w:tab/>
        <w:t>shares</w:t>
        <w:tab/>
        <w:t>without</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shareholder approval once authorized to do</w:t>
      </w:r>
    </w:p>
    <w:p>
      <w:pPr>
        <w:spacing w:after="0" w:line="25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599"/>
        <w:spacing w:after="0" w:line="249" w:lineRule="auto"/>
        <w:rPr>
          <w:sz w:val="20"/>
          <w:szCs w:val="20"/>
          <w:color w:val="auto"/>
        </w:rPr>
      </w:pPr>
      <w:r>
        <w:rPr>
          <w:rFonts w:ascii="Times New Roman" w:cs="Times New Roman" w:eastAsia="Times New Roman" w:hAnsi="Times New Roman"/>
          <w:sz w:val="17"/>
          <w:szCs w:val="17"/>
          <w:color w:val="auto"/>
        </w:rPr>
        <w:t>Under Delaware law, if the company’s certificate of incorporation so provides, the directors have the power to authorize the issuance of additional stock. The directors may authorize capital stock to be issued for consideration consisting of cash, any tangible or intangible property or any benefit to the company or any combination thereof.</w:t>
      </w:r>
    </w:p>
    <w:p>
      <w:pPr>
        <w:sectPr>
          <w:pgSz w:w="11900" w:h="16838" w:orient="portrait"/>
          <w:cols w:equalWidth="0" w:num="2">
            <w:col w:w="5300" w:space="200"/>
            <w:col w:w="3519"/>
          </w:cols>
          <w:pgMar w:left="1440" w:top="253" w:right="1440" w:bottom="1440" w:gutter="0" w:footer="0" w:header="0"/>
          <w:type w:val="continuous"/>
        </w:sectPr>
      </w:pPr>
    </w:p>
    <w:bookmarkStart w:id="24" w:name="page25"/>
    <w:bookmarkEnd w:id="24"/>
    <w:tbl>
      <w:tblPr>
        <w:tblLayout w:type="fixed"/>
        <w:tblInd w:w="600" w:type="dxa"/>
        <w:tblCellMar>
          <w:top w:w="0" w:type="dxa"/>
          <w:left w:w="0" w:type="dxa"/>
          <w:bottom w:w="0" w:type="dxa"/>
          <w:right w:w="0" w:type="dxa"/>
        </w:tblCellMar>
      </w:tblPr>
      <w:tr>
        <w:trPr>
          <w:trHeight w:val="150"/>
        </w:trPr>
        <w:tc>
          <w:tcPr>
            <w:tcW w:w="1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20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369"/>
        </w:trPr>
        <w:tc>
          <w:tcPr>
            <w:tcW w:w="14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3"/>
                <w:szCs w:val="13"/>
                <w:b w:val="1"/>
                <w:bCs w:val="1"/>
                <w:color w:val="auto"/>
              </w:rPr>
              <w:t>IRELAND</w:t>
            </w:r>
          </w:p>
        </w:tc>
      </w:tr>
      <w:tr>
        <w:trPr>
          <w:trHeight w:val="189"/>
        </w:trPr>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so by its constitution or by an ordinary</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resolution adopted by its shareholders at a</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general meeting. The authorization may be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granted for a maximum period of five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years, at which point it may be renewed by</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shareholders by an ordinary resolution. At</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8"/>
              </w:rPr>
              <w:t>our annual general meeting of shareholders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 2025, our shareholders authorized our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Board of Directors to issue new ordinary</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shares up to the amount of our authorized</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but   unissued   share   capital   without</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shareholder approval for a period of five</w:t>
            </w:r>
          </w:p>
        </w:tc>
      </w:tr>
      <w:tr>
        <w:trPr>
          <w:trHeight w:val="217"/>
        </w:trPr>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years, which will expire on July 30, 2030.</w:t>
            </w:r>
          </w:p>
        </w:tc>
      </w:tr>
      <w:tr>
        <w:trPr>
          <w:trHeight w:val="385"/>
        </w:trPr>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Preemptive Rights</w:t>
            </w: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Under   Irish   law,   unless   otherwise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authorized, when an Irish public limited</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company issues shares for cash to new</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shareholders, it is required first to offer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8"/>
              </w:rPr>
              <w:t>those shares on the same or more favorable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terms  to  existing  shareholders  of  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company on a pro rata basis, commonly</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referred  to  as  the  statutory  preemption</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right. However, as permitted by Irish law,</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we have opted out of these preemption</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rights by way of special resolution passed</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at our 2025 annual general meeting of</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shareholders. A special resolution requires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not less than 75% of the votes cast at a</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general meeting of our shareholders. Irish</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law requires that this opt-out is renewed at</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least  every  five  years  by  a  special</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resolution of our shareholders. As a result,</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our shareholders must renew this opt-out</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authorization no longer than July 30, 2030.</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If the opt-out is not renewed, shares issued</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for cash must be offered to our preexisting</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shareholders pro rata before the shares can</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be issued to any new shareholders. 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statutory preemption rights do not apply</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where  shares  are  issued  for  non-cash</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consideration and do not apply to the issue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of non-equity shares (that is, shares that</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have the right to participate only up to a</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specified amount in any income or capital</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distribution) or where shares are issued</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pursuant to an employee option or similar</w:t>
            </w:r>
          </w:p>
        </w:tc>
      </w:tr>
      <w:tr>
        <w:trPr>
          <w:trHeight w:val="217"/>
        </w:trPr>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equity plan.</w:t>
            </w:r>
          </w:p>
        </w:tc>
      </w:tr>
    </w:tbl>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18472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599"/>
        <w:spacing w:after="0" w:line="250" w:lineRule="auto"/>
        <w:rPr>
          <w:sz w:val="20"/>
          <w:szCs w:val="20"/>
          <w:color w:val="auto"/>
        </w:rPr>
      </w:pPr>
      <w:r>
        <w:rPr>
          <w:rFonts w:ascii="Times New Roman" w:cs="Times New Roman" w:eastAsia="Times New Roman" w:hAnsi="Times New Roman"/>
          <w:sz w:val="17"/>
          <w:szCs w:val="17"/>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pacing w:after="0" w:line="5395" w:lineRule="exact"/>
        <w:rPr>
          <w:sz w:val="20"/>
          <w:szCs w:val="20"/>
          <w:color w:val="auto"/>
        </w:rPr>
      </w:pPr>
    </w:p>
    <w:p>
      <w:pPr>
        <w:sectPr>
          <w:pgSz w:w="11900" w:h="16838" w:orient="portrait"/>
          <w:cols w:equalWidth="0" w:num="2">
            <w:col w:w="5320" w:space="180"/>
            <w:col w:w="3519"/>
          </w:cols>
          <w:pgMar w:left="1440" w:top="253" w:right="1440" w:bottom="1440" w:gutter="0" w:footer="0" w:header="0"/>
        </w:sectPr>
      </w:pPr>
    </w:p>
    <w:p>
      <w:pPr>
        <w:ind w:left="600"/>
        <w:spacing w:after="0"/>
        <w:tabs>
          <w:tab w:leader="none" w:pos="2380" w:val="left"/>
        </w:tabs>
        <w:rPr>
          <w:sz w:val="20"/>
          <w:szCs w:val="20"/>
          <w:color w:val="auto"/>
        </w:rPr>
      </w:pPr>
      <w:r>
        <w:rPr>
          <w:rFonts w:ascii="Times New Roman" w:cs="Times New Roman" w:eastAsia="Times New Roman" w:hAnsi="Times New Roman"/>
          <w:sz w:val="17"/>
          <w:szCs w:val="17"/>
          <w:color w:val="auto"/>
        </w:rPr>
        <w:t>Authority to Allot</w:t>
      </w:r>
      <w:r>
        <w:rPr>
          <w:sz w:val="20"/>
          <w:szCs w:val="20"/>
          <w:color w:val="auto"/>
        </w:rPr>
        <w:tab/>
      </w:r>
      <w:r>
        <w:rPr>
          <w:rFonts w:ascii="Times New Roman" w:cs="Times New Roman" w:eastAsia="Times New Roman" w:hAnsi="Times New Roman"/>
          <w:sz w:val="17"/>
          <w:szCs w:val="17"/>
          <w:color w:val="auto"/>
        </w:rPr>
        <w:t>Under  the  Constitution,  we  may  issue</w:t>
      </w:r>
    </w:p>
    <w:p>
      <w:pPr>
        <w:spacing w:after="0" w:line="2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shares subject to the maximum authorized</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share capital contained in the Constitution.</w:t>
      </w:r>
    </w:p>
    <w:p>
      <w:pPr>
        <w:spacing w:after="0" w:line="5" w:lineRule="exact"/>
        <w:rPr>
          <w:sz w:val="20"/>
          <w:szCs w:val="20"/>
          <w:color w:val="auto"/>
        </w:rPr>
      </w:pPr>
    </w:p>
    <w:p>
      <w:pPr>
        <w:ind w:left="2400"/>
        <w:spacing w:after="0"/>
        <w:tabs>
          <w:tab w:leader="none" w:pos="2780" w:val="left"/>
          <w:tab w:leader="none" w:pos="3620" w:val="left"/>
          <w:tab w:leader="none" w:pos="4120" w:val="left"/>
          <w:tab w:leader="none" w:pos="4700" w:val="left"/>
          <w:tab w:leader="none" w:pos="5120" w:val="left"/>
        </w:tabs>
        <w:rPr>
          <w:sz w:val="20"/>
          <w:szCs w:val="20"/>
          <w:color w:val="auto"/>
        </w:rPr>
      </w:pPr>
      <w:r>
        <w:rPr>
          <w:rFonts w:ascii="Times New Roman" w:cs="Times New Roman" w:eastAsia="Times New Roman" w:hAnsi="Times New Roman"/>
          <w:sz w:val="17"/>
          <w:szCs w:val="17"/>
          <w:color w:val="auto"/>
        </w:rPr>
        <w:t>The</w:t>
        <w:tab/>
        <w:t>authorized</w:t>
        <w:tab/>
        <w:t>share</w:t>
        <w:tab/>
        <w:t>capital</w:t>
        <w:tab/>
        <w:t>may</w:t>
      </w:r>
      <w:r>
        <w:rPr>
          <w:sz w:val="20"/>
          <w:szCs w:val="20"/>
          <w:color w:val="auto"/>
        </w:rPr>
        <w:tab/>
      </w:r>
      <w:r>
        <w:rPr>
          <w:rFonts w:ascii="Times New Roman" w:cs="Times New Roman" w:eastAsia="Times New Roman" w:hAnsi="Times New Roman"/>
          <w:sz w:val="16"/>
          <w:szCs w:val="16"/>
          <w:color w:val="auto"/>
        </w:rPr>
        <w:t>be</w:t>
      </w:r>
    </w:p>
    <w:p>
      <w:pPr>
        <w:spacing w:after="0" w:line="5" w:lineRule="exact"/>
        <w:rPr>
          <w:sz w:val="20"/>
          <w:szCs w:val="20"/>
          <w:color w:val="auto"/>
        </w:rPr>
      </w:pPr>
    </w:p>
    <w:p>
      <w:pPr>
        <w:ind w:left="2400"/>
        <w:spacing w:after="0"/>
        <w:tabs>
          <w:tab w:leader="none" w:pos="3140" w:val="left"/>
          <w:tab w:leader="none" w:pos="3420" w:val="left"/>
          <w:tab w:leader="none" w:pos="4100" w:val="left"/>
          <w:tab w:leader="none" w:pos="4400" w:val="left"/>
          <w:tab w:leader="none" w:pos="4620" w:val="left"/>
        </w:tabs>
        <w:rPr>
          <w:sz w:val="20"/>
          <w:szCs w:val="20"/>
          <w:color w:val="auto"/>
        </w:rPr>
      </w:pPr>
      <w:r>
        <w:rPr>
          <w:rFonts w:ascii="Times New Roman" w:cs="Times New Roman" w:eastAsia="Times New Roman" w:hAnsi="Times New Roman"/>
          <w:sz w:val="17"/>
          <w:szCs w:val="17"/>
          <w:color w:val="auto"/>
        </w:rPr>
        <w:t>increased</w:t>
        <w:tab/>
        <w:t>or</w:t>
        <w:tab/>
        <w:t>reduced</w:t>
        <w:tab/>
        <w:t>by</w:t>
        <w:tab/>
        <w:t>a</w:t>
      </w:r>
      <w:r>
        <w:rPr>
          <w:sz w:val="20"/>
          <w:szCs w:val="20"/>
          <w:color w:val="auto"/>
        </w:rPr>
        <w:tab/>
      </w:r>
      <w:r>
        <w:rPr>
          <w:rFonts w:ascii="Times New Roman" w:cs="Times New Roman" w:eastAsia="Times New Roman" w:hAnsi="Times New Roman"/>
          <w:sz w:val="16"/>
          <w:szCs w:val="16"/>
          <w:color w:val="auto"/>
        </w:rPr>
        <w:t>resolution</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approved by a simple majority of the votes</w:t>
      </w:r>
    </w:p>
    <w:p>
      <w:pPr>
        <w:spacing w:after="0" w:line="200" w:lineRule="exact"/>
        <w:rPr>
          <w:sz w:val="20"/>
          <w:szCs w:val="20"/>
          <w:color w:val="auto"/>
        </w:rPr>
      </w:pPr>
    </w:p>
    <w:p>
      <w:pPr>
        <w:spacing w:after="0" w:line="2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599"/>
        <w:spacing w:after="0" w:line="250" w:lineRule="auto"/>
        <w:rPr>
          <w:sz w:val="20"/>
          <w:szCs w:val="20"/>
          <w:color w:val="auto"/>
        </w:rPr>
      </w:pPr>
      <w:r>
        <w:rPr>
          <w:rFonts w:ascii="Times New Roman" w:cs="Times New Roman" w:eastAsia="Times New Roman" w:hAnsi="Times New Roman"/>
          <w:sz w:val="17"/>
          <w:szCs w:val="17"/>
          <w:color w:val="auto"/>
        </w:rPr>
        <w:t>Under Delaware law, if the corporation’s charter or certificate of incorporation so provides, the board of directors has the power to authorize the issuance of stock. The board may authorize capital stock to be issued for consideration consisting of cash,</w:t>
      </w:r>
    </w:p>
    <w:p>
      <w:pPr>
        <w:sectPr>
          <w:pgSz w:w="11900" w:h="16838" w:orient="portrait"/>
          <w:cols w:equalWidth="0" w:num="2">
            <w:col w:w="5300" w:space="200"/>
            <w:col w:w="3519"/>
          </w:cols>
          <w:pgMar w:left="1440" w:top="253" w:right="1440" w:bottom="1440" w:gutter="0" w:footer="0" w:header="0"/>
          <w:type w:val="continuous"/>
        </w:sectPr>
      </w:pPr>
    </w:p>
    <w:bookmarkStart w:id="25" w:name="page26"/>
    <w:bookmarkEnd w:id="2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14" w:lineRule="exact"/>
        <w:rPr>
          <w:sz w:val="20"/>
          <w:szCs w:val="20"/>
          <w:color w:val="auto"/>
        </w:rPr>
      </w:pPr>
    </w:p>
    <w:p>
      <w:pPr>
        <w:jc w:val="center"/>
        <w:ind w:left="2400"/>
        <w:spacing w:after="0"/>
        <w:rPr>
          <w:sz w:val="20"/>
          <w:szCs w:val="20"/>
          <w:color w:val="auto"/>
        </w:rPr>
      </w:pPr>
      <w:r>
        <w:rPr>
          <w:rFonts w:ascii="Times New Roman" w:cs="Times New Roman" w:eastAsia="Times New Roman" w:hAnsi="Times New Roman"/>
          <w:sz w:val="13"/>
          <w:szCs w:val="13"/>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15875</wp:posOffset>
            </wp:positionV>
            <wp:extent cx="18472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14" w:lineRule="exact"/>
        <w:rPr>
          <w:sz w:val="20"/>
          <w:szCs w:val="20"/>
          <w:color w:val="auto"/>
        </w:rPr>
      </w:pPr>
    </w:p>
    <w:p>
      <w:pPr>
        <w:jc w:val="both"/>
        <w:ind w:left="2400"/>
        <w:spacing w:after="0" w:line="263" w:lineRule="auto"/>
        <w:rPr>
          <w:sz w:val="20"/>
          <w:szCs w:val="20"/>
          <w:color w:val="auto"/>
        </w:rPr>
      </w:pPr>
      <w:r>
        <w:rPr>
          <w:rFonts w:ascii="Times New Roman" w:cs="Times New Roman" w:eastAsia="Times New Roman" w:hAnsi="Times New Roman"/>
          <w:sz w:val="16"/>
          <w:szCs w:val="16"/>
          <w:color w:val="auto"/>
        </w:rPr>
        <w:t>cast at a general meeting of our shareholders, referred to under Irish law as an “ordinary resolution.” Our authorized share capital may be divided into shares of such nominal value as the resolution shall prescribe. As a matter of Irish law, the directors of a company may issue new ordinary shares without shareholder approval once authorized to do so by its constitution or by an ordinary resolution adopted by its shareholders at a general meeting. The authorization may be granted for a maximum period of five years, at which point it may be renewed by shareholders by an ordinary resolution. At our annual general meeting of shareholders in 2025, our shareholders authorized our Board of Directors to issue new ordinary shares up to the amount of our authorized but unissued share capital without shareholder approval for a period of five years, which will expire on July 30, 2030.</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18472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14" w:lineRule="exact"/>
        <w:rPr>
          <w:sz w:val="20"/>
          <w:szCs w:val="20"/>
          <w:color w:val="auto"/>
        </w:rPr>
      </w:pPr>
    </w:p>
    <w:p>
      <w:pPr>
        <w:jc w:val="both"/>
        <w:ind w:right="599"/>
        <w:spacing w:after="0" w:line="250" w:lineRule="auto"/>
        <w:rPr>
          <w:sz w:val="20"/>
          <w:szCs w:val="20"/>
          <w:color w:val="auto"/>
        </w:rPr>
      </w:pPr>
      <w:r>
        <w:rPr>
          <w:rFonts w:ascii="Times New Roman" w:cs="Times New Roman" w:eastAsia="Times New Roman" w:hAnsi="Times New Roman"/>
          <w:sz w:val="17"/>
          <w:szCs w:val="17"/>
          <w:color w:val="auto"/>
        </w:rPr>
        <w:t>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2804" w:lineRule="exact"/>
        <w:rPr>
          <w:sz w:val="20"/>
          <w:szCs w:val="20"/>
          <w:color w:val="auto"/>
        </w:rPr>
      </w:pPr>
    </w:p>
    <w:p>
      <w:pPr>
        <w:sectPr>
          <w:pgSz w:w="11900" w:h="16838" w:orient="portrait"/>
          <w:cols w:equalWidth="0" w:num="2">
            <w:col w:w="5300" w:space="200"/>
            <w:col w:w="3519"/>
          </w:cols>
          <w:pgMar w:left="1440" w:top="253" w:right="1440" w:bottom="1440" w:gutter="0" w:footer="0" w:header="0"/>
        </w:sectPr>
      </w:pPr>
    </w:p>
    <w:p>
      <w:pPr>
        <w:spacing w:after="0" w:line="180" w:lineRule="exact"/>
        <w:rPr>
          <w:sz w:val="20"/>
          <w:szCs w:val="20"/>
          <w:color w:val="auto"/>
        </w:rPr>
      </w:pPr>
    </w:p>
    <w:tbl>
      <w:tblPr>
        <w:tblLayout w:type="fixed"/>
        <w:tblInd w:w="600" w:type="dxa"/>
        <w:tblCellMar>
          <w:top w:w="0" w:type="dxa"/>
          <w:left w:w="0" w:type="dxa"/>
          <w:bottom w:w="0" w:type="dxa"/>
          <w:right w:w="0" w:type="dxa"/>
        </w:tblCellMar>
      </w:tblPr>
      <w:tr>
        <w:trPr>
          <w:trHeight w:val="201"/>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Acquisition of Own</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Under Irish</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law, a company may issue</w:t>
            </w:r>
          </w:p>
        </w:tc>
      </w:tr>
      <w:tr>
        <w:trPr>
          <w:trHeight w:val="201"/>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Shares</w:t>
            </w:r>
          </w:p>
        </w:tc>
        <w:tc>
          <w:tcPr>
            <w:tcW w:w="314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w w:val="99"/>
              </w:rPr>
              <w:t>redeemable shares and redeem them out of</w:t>
            </w:r>
          </w:p>
        </w:tc>
      </w:tr>
      <w:tr>
        <w:trPr>
          <w:trHeight w:val="201"/>
        </w:trPr>
        <w:tc>
          <w:tcPr>
            <w:tcW w:w="156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distributable</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reserves</w:t>
            </w: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or the</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proceeds of</w:t>
            </w:r>
          </w:p>
        </w:tc>
      </w:tr>
      <w:tr>
        <w:trPr>
          <w:trHeight w:val="201"/>
        </w:trPr>
        <w:tc>
          <w:tcPr>
            <w:tcW w:w="1560" w:type="dxa"/>
            <w:vAlign w:val="bottom"/>
          </w:tcPr>
          <w:p>
            <w:pPr>
              <w:spacing w:after="0"/>
              <w:rPr>
                <w:sz w:val="17"/>
                <w:szCs w:val="17"/>
                <w:color w:val="auto"/>
              </w:rPr>
            </w:pPr>
          </w:p>
        </w:tc>
        <w:tc>
          <w:tcPr>
            <w:tcW w:w="314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rPr>
              <w:t>a new issue of shares for that purpose. All</w:t>
            </w:r>
          </w:p>
        </w:tc>
      </w:tr>
      <w:tr>
        <w:trPr>
          <w:trHeight w:val="201"/>
        </w:trPr>
        <w:tc>
          <w:tcPr>
            <w:tcW w:w="1560" w:type="dxa"/>
            <w:vAlign w:val="bottom"/>
          </w:tcPr>
          <w:p>
            <w:pPr>
              <w:spacing w:after="0"/>
              <w:rPr>
                <w:sz w:val="17"/>
                <w:szCs w:val="17"/>
                <w:color w:val="auto"/>
              </w:rPr>
            </w:pPr>
          </w:p>
        </w:tc>
        <w:tc>
          <w:tcPr>
            <w:tcW w:w="314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w w:val="99"/>
              </w:rPr>
              <w:t>redeemable shares must also be fully paid.</w:t>
            </w:r>
          </w:p>
        </w:tc>
      </w:tr>
      <w:tr>
        <w:trPr>
          <w:trHeight w:val="201"/>
        </w:trPr>
        <w:tc>
          <w:tcPr>
            <w:tcW w:w="1560" w:type="dxa"/>
            <w:vAlign w:val="bottom"/>
          </w:tcPr>
          <w:p>
            <w:pPr>
              <w:spacing w:after="0"/>
              <w:rPr>
                <w:sz w:val="17"/>
                <w:szCs w:val="17"/>
                <w:color w:val="auto"/>
              </w:rPr>
            </w:pPr>
          </w:p>
        </w:tc>
        <w:tc>
          <w:tcPr>
            <w:tcW w:w="314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w w:val="98"/>
              </w:rPr>
              <w:t>Redeemable shares may, upon redemption,</w:t>
            </w:r>
          </w:p>
        </w:tc>
      </w:tr>
      <w:tr>
        <w:trPr>
          <w:trHeight w:val="201"/>
        </w:trPr>
        <w:tc>
          <w:tcPr>
            <w:tcW w:w="1560" w:type="dxa"/>
            <w:vAlign w:val="bottom"/>
          </w:tcPr>
          <w:p>
            <w:pPr>
              <w:spacing w:after="0"/>
              <w:rPr>
                <w:sz w:val="17"/>
                <w:szCs w:val="17"/>
                <w:color w:val="auto"/>
              </w:rPr>
            </w:pPr>
          </w:p>
        </w:tc>
        <w:tc>
          <w:tcPr>
            <w:tcW w:w="314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rPr>
              <w:t>be  cancelled  or  held  in  treasury.  The</w:t>
            </w:r>
          </w:p>
        </w:tc>
      </w:tr>
      <w:tr>
        <w:trPr>
          <w:trHeight w:val="217"/>
        </w:trPr>
        <w:tc>
          <w:tcPr>
            <w:tcW w:w="156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Constitution</w:t>
            </w: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5"/>
              </w:rPr>
              <w:t>provides</w:t>
            </w:r>
          </w:p>
        </w:tc>
        <w:tc>
          <w:tcPr>
            <w:tcW w:w="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that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shareholder</w:t>
            </w:r>
          </w:p>
        </w:tc>
      </w:tr>
    </w:tbl>
    <w:p>
      <w:pPr>
        <w:ind w:left="2400"/>
        <w:spacing w:after="0" w:line="247" w:lineRule="auto"/>
        <w:rPr>
          <w:sz w:val="20"/>
          <w:szCs w:val="20"/>
          <w:color w:val="auto"/>
        </w:rPr>
      </w:pPr>
      <w:r>
        <w:rPr>
          <w:rFonts w:ascii="Times New Roman" w:cs="Times New Roman" w:eastAsia="Times New Roman" w:hAnsi="Times New Roman"/>
          <w:sz w:val="17"/>
          <w:szCs w:val="17"/>
          <w:color w:val="auto"/>
        </w:rPr>
        <w:t>approval will not be required to deem any shares redeemable. We may also be given an additional general authority by our shareholders to purchase our own shares on-market, which would take effect on the same terms and be subject to the same conditions as applicable to purchases by our subsidiaries as described below.  </w:t>
      </w:r>
    </w:p>
    <w:p>
      <w:pPr>
        <w:spacing w:after="0" w:line="19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Repurchased and redeemed shares may be</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cancelled or held as treasury shares. The</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nominal value of treasury shares that we</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hold at any time must not exceed 10% of</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the nominal value of our issued share</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capital. We may not exercise any voting</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rights in respect of any shares held as</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treasury shares. We may either cancel or,</w:t>
      </w:r>
    </w:p>
    <w:p>
      <w:pPr>
        <w:spacing w:after="0" w:line="5" w:lineRule="exact"/>
        <w:rPr>
          <w:sz w:val="20"/>
          <w:szCs w:val="20"/>
          <w:color w:val="auto"/>
        </w:rPr>
      </w:pPr>
    </w:p>
    <w:p>
      <w:pPr>
        <w:ind w:left="2400"/>
        <w:spacing w:after="0"/>
        <w:tabs>
          <w:tab w:leader="none" w:pos="3020" w:val="left"/>
          <w:tab w:leader="none" w:pos="3300" w:val="left"/>
          <w:tab w:leader="none" w:pos="3920" w:val="left"/>
          <w:tab w:leader="none" w:pos="4820" w:val="left"/>
        </w:tabs>
        <w:rPr>
          <w:sz w:val="20"/>
          <w:szCs w:val="20"/>
          <w:color w:val="auto"/>
        </w:rPr>
      </w:pPr>
      <w:r>
        <w:rPr>
          <w:rFonts w:ascii="Times New Roman" w:cs="Times New Roman" w:eastAsia="Times New Roman" w:hAnsi="Times New Roman"/>
          <w:sz w:val="17"/>
          <w:szCs w:val="17"/>
          <w:color w:val="auto"/>
        </w:rPr>
        <w:t>subject</w:t>
        <w:tab/>
        <w:t>to</w:t>
        <w:tab/>
        <w:t>certain</w:t>
        <w:tab/>
        <w:t>conditions,</w:t>
      </w:r>
      <w:r>
        <w:rPr>
          <w:sz w:val="20"/>
          <w:szCs w:val="20"/>
          <w:color w:val="auto"/>
        </w:rPr>
        <w:tab/>
      </w:r>
      <w:r>
        <w:rPr>
          <w:rFonts w:ascii="Times New Roman" w:cs="Times New Roman" w:eastAsia="Times New Roman" w:hAnsi="Times New Roman"/>
          <w:sz w:val="16"/>
          <w:szCs w:val="16"/>
          <w:color w:val="auto"/>
        </w:rPr>
        <w:t>reissue</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treasury shares.</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 </w:t>
      </w:r>
    </w:p>
    <w:p>
      <w:pPr>
        <w:spacing w:after="0" w:line="5" w:lineRule="exact"/>
        <w:rPr>
          <w:sz w:val="20"/>
          <w:szCs w:val="20"/>
          <w:color w:val="auto"/>
        </w:rPr>
      </w:pPr>
    </w:p>
    <w:p>
      <w:pPr>
        <w:jc w:val="both"/>
        <w:ind w:left="2400"/>
        <w:spacing w:after="0" w:line="249" w:lineRule="auto"/>
        <w:rPr>
          <w:sz w:val="20"/>
          <w:szCs w:val="20"/>
          <w:color w:val="auto"/>
        </w:rPr>
      </w:pPr>
      <w:r>
        <w:rPr>
          <w:rFonts w:ascii="Times New Roman" w:cs="Times New Roman" w:eastAsia="Times New Roman" w:hAnsi="Times New Roman"/>
          <w:sz w:val="17"/>
          <w:szCs w:val="17"/>
          <w:color w:val="auto"/>
        </w:rPr>
        <w:t>Under Irish law, an Irish or non-Irish subsidiary may purchase our shares either on-market or off-market. For a subsidiary</w:t>
      </w:r>
    </w:p>
    <w:p>
      <w:pPr>
        <w:spacing w:after="0" w:line="2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ind w:right="599"/>
        <w:spacing w:after="0" w:line="248" w:lineRule="auto"/>
        <w:rPr>
          <w:sz w:val="20"/>
          <w:szCs w:val="20"/>
          <w:color w:val="auto"/>
        </w:rPr>
      </w:pPr>
      <w:r>
        <w:rPr>
          <w:rFonts w:ascii="Times New Roman" w:cs="Times New Roman" w:eastAsia="Times New Roman" w:hAnsi="Times New Roman"/>
          <w:sz w:val="17"/>
          <w:szCs w:val="17"/>
          <w:color w:val="auto"/>
        </w:rPr>
        <w:t>Under Delaware law,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ectPr>
          <w:pgSz w:w="11900" w:h="16838" w:orient="portrait"/>
          <w:cols w:equalWidth="0" w:num="2">
            <w:col w:w="5300" w:space="200"/>
            <w:col w:w="3519"/>
          </w:cols>
          <w:pgMar w:left="1440" w:top="253" w:right="1440" w:bottom="1440" w:gutter="0" w:footer="0" w:header="0"/>
          <w:type w:val="continuous"/>
        </w:sectPr>
      </w:pPr>
    </w:p>
    <w:bookmarkStart w:id="26" w:name="page27"/>
    <w:bookmarkEnd w:id="26"/>
    <w:tbl>
      <w:tblPr>
        <w:tblLayout w:type="fixed"/>
        <w:tblInd w:w="600" w:type="dxa"/>
        <w:tblCellMar>
          <w:top w:w="0" w:type="dxa"/>
          <w:left w:w="0" w:type="dxa"/>
          <w:bottom w:w="0" w:type="dxa"/>
          <w:right w:w="0" w:type="dxa"/>
        </w:tblCellMar>
      </w:tblPr>
      <w:tr>
        <w:trPr>
          <w:trHeight w:val="150"/>
        </w:trPr>
        <w:tc>
          <w:tcPr>
            <w:tcW w:w="1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369"/>
        </w:trPr>
        <w:tc>
          <w:tcPr>
            <w:tcW w:w="14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082"/>
              <w:spacing w:after="0"/>
              <w:rPr>
                <w:sz w:val="20"/>
                <w:szCs w:val="20"/>
                <w:color w:val="auto"/>
              </w:rPr>
            </w:pPr>
            <w:r>
              <w:rPr>
                <w:rFonts w:ascii="Times New Roman" w:cs="Times New Roman" w:eastAsia="Times New Roman" w:hAnsi="Times New Roman"/>
                <w:sz w:val="13"/>
                <w:szCs w:val="13"/>
                <w:b w:val="1"/>
                <w:bCs w:val="1"/>
                <w:color w:val="auto"/>
              </w:rPr>
              <w:t>IRELAND</w:t>
            </w:r>
          </w:p>
        </w:tc>
      </w:tr>
      <w:tr>
        <w:trPr>
          <w:trHeight w:val="189"/>
        </w:trPr>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of ours to make on-market purchases of</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our shares, the shareholders must provide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general authorization for such purchase by</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way of ordinary resolution. However, as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long as this general authority has been</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granted, no specific shareholder authority</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for a particular on-market purchase by a</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w w:val="99"/>
              </w:rPr>
              <w:t>subsidiary of our shares is required. For an</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off-market purchase by a subsidiary of</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ours, the proposed purchase contract must</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be authorized by special resolution of our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shareholders before the contract is entered</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into. This authority must specify the date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on which the authority is to expire, which</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shall not be more than 18 months from 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w w:val="99"/>
              </w:rPr>
              <w:t>date the special resolution was passed. 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person whose shares of ours are to be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bought cannot vote in favor of the special</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resolution and, for at least 21 days prior to</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the special resolution being passed, 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purchase contract must be on display or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must be available for inspection by our</w:t>
            </w:r>
          </w:p>
        </w:tc>
      </w:tr>
      <w:tr>
        <w:trPr>
          <w:trHeight w:val="217"/>
        </w:trPr>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shareholders at our registered office.</w:t>
            </w:r>
          </w:p>
        </w:tc>
      </w:tr>
      <w:tr>
        <w:trPr>
          <w:trHeight w:val="385"/>
        </w:trPr>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Different Classes of</w:t>
            </w: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w w:val="99"/>
              </w:rPr>
              <w:t>Without prejudice to any rights attached to</w:t>
            </w:r>
          </w:p>
        </w:tc>
      </w:tr>
      <w:tr>
        <w:trPr>
          <w:trHeight w:val="201"/>
        </w:trPr>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Shares</w:t>
            </w: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any existing shares, we may issue shares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with  such  rights  or  restrictions  as  we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determine  by  an  ordinary  resolution</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approved by our shareholders. As a matter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of Irish company law, the directors of a</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company may issue new ordinary shares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without</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shareholder   approval   once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authorized to do so by the constitution or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by an ordinary resolution adopted by 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shareholders at a general meeting. 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authorization  may  be  granted  for  a</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maximum period of five years, at which</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point  it  must  be  renewed  by  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shareholders by an ordinary resolution (if</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we wish to issue shares). At our annual</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general meeting on July 31, 2025, our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shareholders approved the renewal of our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Board of Directors authority to allot new</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ordinary</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shares   without   shareholder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w w:val="98"/>
              </w:rPr>
              <w:t>approval for a period of five years from the</w:t>
            </w:r>
          </w:p>
        </w:tc>
      </w:tr>
      <w:tr>
        <w:trPr>
          <w:trHeight w:val="217"/>
        </w:trPr>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date of that meeting. We may also issue</w:t>
            </w:r>
          </w:p>
        </w:tc>
      </w:tr>
    </w:tbl>
    <w:p>
      <w:pPr>
        <w:ind w:left="2400" w:right="20"/>
        <w:spacing w:after="0" w:line="246" w:lineRule="auto"/>
        <w:rPr>
          <w:sz w:val="20"/>
          <w:szCs w:val="20"/>
          <w:color w:val="auto"/>
        </w:rPr>
      </w:pPr>
      <w:r>
        <w:rPr>
          <w:rFonts w:ascii="Times New Roman" w:cs="Times New Roman" w:eastAsia="Times New Roman" w:hAnsi="Times New Roman"/>
          <w:sz w:val="17"/>
          <w:szCs w:val="17"/>
          <w:color w:val="auto"/>
        </w:rPr>
        <w:t>shares which are, or are liable to be, redeemed at the option of us or the holder.  </w:t>
      </w:r>
    </w:p>
    <w:p>
      <w:pPr>
        <w:spacing w:after="0" w:line="1" w:lineRule="exact"/>
        <w:rPr>
          <w:sz w:val="20"/>
          <w:szCs w:val="20"/>
          <w:color w:val="auto"/>
        </w:rPr>
      </w:pPr>
    </w:p>
    <w:p>
      <w:pPr>
        <w:jc w:val="both"/>
        <w:ind w:left="2400" w:right="20"/>
        <w:spacing w:after="0" w:line="247" w:lineRule="auto"/>
        <w:rPr>
          <w:sz w:val="20"/>
          <w:szCs w:val="20"/>
          <w:color w:val="auto"/>
        </w:rPr>
      </w:pPr>
      <w:r>
        <w:rPr>
          <w:rFonts w:ascii="Times New Roman" w:cs="Times New Roman" w:eastAsia="Times New Roman" w:hAnsi="Times New Roman"/>
          <w:sz w:val="17"/>
          <w:szCs w:val="17"/>
          <w:color w:val="auto"/>
        </w:rPr>
        <w:t>Whenever our share capital is divided into different classes of shares, the special rights attached to any class may be varied or abrogated either with the written consent of the holders of 75% in nominal value of the</w:t>
      </w:r>
    </w:p>
    <w:p>
      <w:pPr>
        <w:spacing w:after="0" w:line="2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18472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company’s  Delaware’s  certificate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incorporation may authorize the board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5" w:lineRule="exact"/>
        <w:rPr>
          <w:sz w:val="20"/>
          <w:szCs w:val="20"/>
          <w:color w:val="auto"/>
        </w:rPr>
      </w:pPr>
    </w:p>
    <w:p>
      <w:pPr>
        <w:jc w:val="both"/>
        <w:ind w:left="360" w:right="599" w:hanging="361"/>
        <w:spacing w:after="0" w:line="246" w:lineRule="auto"/>
        <w:rPr>
          <w:sz w:val="20"/>
          <w:szCs w:val="20"/>
          <w:color w:val="auto"/>
        </w:rPr>
      </w:pPr>
      <w:r>
        <w:rPr>
          <w:rFonts w:ascii="Times New Roman" w:cs="Times New Roman" w:eastAsia="Times New Roman" w:hAnsi="Times New Roman"/>
          <w:sz w:val="17"/>
          <w:szCs w:val="17"/>
          <w:color w:val="auto"/>
        </w:rPr>
        <w:t>(1)  to provide for the issuance of one or more series of preferred stock;</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w:t>
      </w:r>
    </w:p>
    <w:p>
      <w:pPr>
        <w:spacing w:after="0" w:line="5" w:lineRule="exact"/>
        <w:rPr>
          <w:sz w:val="20"/>
          <w:szCs w:val="20"/>
          <w:color w:val="auto"/>
        </w:rPr>
      </w:pPr>
    </w:p>
    <w:p>
      <w:pPr>
        <w:jc w:val="both"/>
        <w:ind w:left="360" w:right="619" w:hanging="361"/>
        <w:spacing w:after="0" w:line="246" w:lineRule="auto"/>
        <w:rPr>
          <w:sz w:val="20"/>
          <w:szCs w:val="20"/>
          <w:color w:val="auto"/>
        </w:rPr>
      </w:pPr>
      <w:r>
        <w:rPr>
          <w:rFonts w:ascii="Times New Roman" w:cs="Times New Roman" w:eastAsia="Times New Roman" w:hAnsi="Times New Roman"/>
          <w:sz w:val="17"/>
          <w:szCs w:val="17"/>
          <w:color w:val="auto"/>
        </w:rPr>
        <w:t>(2)  to establish from time to time the number of shares to be included in such series; and</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w:t>
      </w:r>
    </w:p>
    <w:p>
      <w:pPr>
        <w:spacing w:after="0" w:line="5" w:lineRule="exact"/>
        <w:rPr>
          <w:sz w:val="20"/>
          <w:szCs w:val="20"/>
          <w:color w:val="auto"/>
        </w:rPr>
      </w:pPr>
    </w:p>
    <w:p>
      <w:pPr>
        <w:jc w:val="both"/>
        <w:ind w:left="360" w:right="619" w:hanging="361"/>
        <w:spacing w:after="0" w:line="261" w:lineRule="auto"/>
        <w:rPr>
          <w:sz w:val="20"/>
          <w:szCs w:val="20"/>
          <w:color w:val="auto"/>
        </w:rPr>
      </w:pPr>
      <w:r>
        <w:rPr>
          <w:rFonts w:ascii="Times New Roman" w:cs="Times New Roman" w:eastAsia="Times New Roman" w:hAnsi="Times New Roman"/>
          <w:sz w:val="16"/>
          <w:szCs w:val="16"/>
          <w:color w:val="auto"/>
        </w:rPr>
        <w:t>(3)  to fix the designations, preferences and relative, participating, optional or</w:t>
      </w:r>
    </w:p>
    <w:p>
      <w:pPr>
        <w:spacing w:after="0" w:line="1" w:lineRule="exact"/>
        <w:rPr>
          <w:sz w:val="20"/>
          <w:szCs w:val="20"/>
          <w:color w:val="auto"/>
        </w:rPr>
      </w:pPr>
    </w:p>
    <w:p>
      <w:pPr>
        <w:ind w:left="360"/>
        <w:spacing w:after="0"/>
        <w:tabs>
          <w:tab w:leader="none" w:pos="1040" w:val="left"/>
          <w:tab w:leader="none" w:pos="1860" w:val="left"/>
          <w:tab w:leader="none" w:pos="2640" w:val="left"/>
        </w:tabs>
        <w:rPr>
          <w:sz w:val="20"/>
          <w:szCs w:val="20"/>
          <w:color w:val="auto"/>
        </w:rPr>
      </w:pPr>
      <w:r>
        <w:rPr>
          <w:rFonts w:ascii="Times New Roman" w:cs="Times New Roman" w:eastAsia="Times New Roman" w:hAnsi="Times New Roman"/>
          <w:sz w:val="17"/>
          <w:szCs w:val="17"/>
          <w:color w:val="auto"/>
        </w:rPr>
        <w:t>other</w:t>
      </w:r>
      <w:r>
        <w:rPr>
          <w:sz w:val="20"/>
          <w:szCs w:val="20"/>
          <w:color w:val="auto"/>
        </w:rPr>
        <w:tab/>
      </w:r>
      <w:r>
        <w:rPr>
          <w:rFonts w:ascii="Times New Roman" w:cs="Times New Roman" w:eastAsia="Times New Roman" w:hAnsi="Times New Roman"/>
          <w:sz w:val="17"/>
          <w:szCs w:val="17"/>
          <w:color w:val="auto"/>
        </w:rPr>
        <w:t>special</w:t>
      </w:r>
      <w:r>
        <w:rPr>
          <w:sz w:val="20"/>
          <w:szCs w:val="20"/>
          <w:color w:val="auto"/>
        </w:rPr>
        <w:tab/>
      </w:r>
      <w:r>
        <w:rPr>
          <w:rFonts w:ascii="Times New Roman" w:cs="Times New Roman" w:eastAsia="Times New Roman" w:hAnsi="Times New Roman"/>
          <w:sz w:val="17"/>
          <w:szCs w:val="17"/>
          <w:color w:val="auto"/>
        </w:rPr>
        <w:t>rights,</w:t>
      </w:r>
      <w:r>
        <w:rPr>
          <w:sz w:val="20"/>
          <w:szCs w:val="20"/>
          <w:color w:val="auto"/>
        </w:rPr>
        <w:tab/>
      </w:r>
      <w:r>
        <w:rPr>
          <w:rFonts w:ascii="Times New Roman" w:cs="Times New Roman" w:eastAsia="Times New Roman" w:hAnsi="Times New Roman"/>
          <w:sz w:val="16"/>
          <w:szCs w:val="16"/>
          <w:color w:val="auto"/>
        </w:rPr>
        <w:t>and</w:t>
      </w:r>
    </w:p>
    <w:p>
      <w:pPr>
        <w:spacing w:after="0" w:line="5" w:lineRule="exact"/>
        <w:rPr>
          <w:sz w:val="20"/>
          <w:szCs w:val="20"/>
          <w:color w:val="auto"/>
        </w:rPr>
      </w:pPr>
    </w:p>
    <w:p>
      <w:pPr>
        <w:ind w:left="360" w:right="599"/>
        <w:spacing w:after="0" w:line="252" w:lineRule="auto"/>
        <w:rPr>
          <w:sz w:val="20"/>
          <w:szCs w:val="20"/>
          <w:color w:val="auto"/>
        </w:rPr>
      </w:pPr>
      <w:r>
        <w:rPr>
          <w:rFonts w:ascii="Times New Roman" w:cs="Times New Roman" w:eastAsia="Times New Roman" w:hAnsi="Times New Roman"/>
          <w:sz w:val="17"/>
          <w:szCs w:val="17"/>
          <w:color w:val="auto"/>
        </w:rPr>
        <w:t>qualifications, limitations or restrictions of each such series.</w:t>
      </w:r>
    </w:p>
    <w:p>
      <w:pPr>
        <w:sectPr>
          <w:pgSz w:w="11900" w:h="16838" w:orient="portrait"/>
          <w:cols w:equalWidth="0" w:num="2">
            <w:col w:w="5320" w:space="180"/>
            <w:col w:w="3519"/>
          </w:cols>
          <w:pgMar w:left="1440" w:top="253" w:right="1440" w:bottom="1440" w:gutter="0" w:footer="0" w:header="0"/>
        </w:sectPr>
      </w:pPr>
    </w:p>
    <w:bookmarkStart w:id="27" w:name="page28"/>
    <w:bookmarkEnd w:id="27"/>
    <w:tbl>
      <w:tblPr>
        <w:tblLayout w:type="fixed"/>
        <w:tblInd w:w="600" w:type="dxa"/>
        <w:tblCellMar>
          <w:top w:w="0" w:type="dxa"/>
          <w:left w:w="0" w:type="dxa"/>
          <w:bottom w:w="0" w:type="dxa"/>
          <w:right w:w="0" w:type="dxa"/>
        </w:tblCellMar>
      </w:tblPr>
      <w:tr>
        <w:trPr>
          <w:trHeight w:val="150"/>
        </w:trPr>
        <w:tc>
          <w:tcPr>
            <w:tcW w:w="1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369"/>
        </w:trPr>
        <w:tc>
          <w:tcPr>
            <w:tcW w:w="14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IRELAND</w:t>
            </w: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189"/>
        </w:trPr>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6"/>
          </w:tcPr>
          <w:p>
            <w:pPr>
              <w:spacing w:after="0" w:line="189" w:lineRule="exact"/>
              <w:rPr>
                <w:sz w:val="20"/>
                <w:szCs w:val="20"/>
                <w:color w:val="auto"/>
              </w:rPr>
            </w:pPr>
            <w:r>
              <w:rPr>
                <w:rFonts w:ascii="Times New Roman" w:cs="Times New Roman" w:eastAsia="Times New Roman" w:hAnsi="Times New Roman"/>
                <w:sz w:val="17"/>
                <w:szCs w:val="17"/>
                <w:color w:val="auto"/>
                <w:w w:val="98"/>
              </w:rPr>
              <w:t>issued shares of the class (excluding shares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held  as  treasury  shares)  or  with  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sanction of a special resolution passed at a</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separate meeting of the holders of 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shares of the class (but not otherwise), and</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w w:val="99"/>
              </w:rPr>
              <w:t>may be so varied or abrogated either while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we are a going concern or during or in</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contemplation of a winding up. The rights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conferred upon the holders of any class of</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w w:val="99"/>
              </w:rPr>
              <w:t>shares issued with preferred or other rights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shall  not,  unless  otherwise  expressly</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w w:val="98"/>
              </w:rPr>
              <w:t>provided by the terms of issue of the shares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w w:val="98"/>
              </w:rPr>
              <w:t>of that class, be deemed to be varied by our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purchase or redemption of our own shares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w w:val="99"/>
              </w:rPr>
              <w:t>or by the creation or issue of further shares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w w:val="98"/>
              </w:rPr>
              <w:t>ranking pari passu therewith or subordinate</w:t>
            </w:r>
          </w:p>
        </w:tc>
      </w:tr>
      <w:tr>
        <w:trPr>
          <w:trHeight w:val="217"/>
        </w:trPr>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thereto.</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85"/>
        </w:trPr>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Dividends</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Under</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Irish</w:t>
            </w:r>
          </w:p>
        </w:tc>
        <w:tc>
          <w:tcPr>
            <w:tcW w:w="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law,</w:t>
            </w: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dividends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and</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distributions  may  only  be  made  from</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w w:val="99"/>
              </w:rPr>
              <w:t>distributable reserves which are, generally,</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a company’s accumulated realized profits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less its accumulated realized losses. In</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addition, no distribution or dividend may</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be made if our net assets are not, or if</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making such distribution or dividend will</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cause our net assets to not be, equal to, or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w w:val="99"/>
              </w:rPr>
              <w:t>in excess of, the aggregate of our called up</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share capital plus undistributable reserves.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w w:val="98"/>
              </w:rPr>
              <w:t>Undistributable</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reserves</w:t>
            </w: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include</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company’s undenominated capital and 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amount</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by</w:t>
            </w: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rPr>
              <w:t>which</w:t>
            </w:r>
          </w:p>
        </w:tc>
        <w:tc>
          <w:tcPr>
            <w:tcW w:w="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company’s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accumulated unrealized profits exceeds its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accumulated</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5"/>
              </w:rPr>
              <w:t>unrealized</w:t>
            </w:r>
          </w:p>
        </w:tc>
        <w:tc>
          <w:tcPr>
            <w:tcW w:w="20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losses.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The</w:t>
            </w:r>
          </w:p>
        </w:tc>
      </w:tr>
      <w:tr>
        <w:trPr>
          <w:trHeight w:val="217"/>
        </w:trPr>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w w:val="98"/>
              </w:rPr>
              <w:t>determination as to whether or not we have</w:t>
            </w:r>
          </w:p>
        </w:tc>
      </w:tr>
    </w:tbl>
    <w:p>
      <w:pPr>
        <w:ind w:left="2400" w:right="20"/>
        <w:spacing w:after="0" w:line="246" w:lineRule="auto"/>
        <w:rPr>
          <w:sz w:val="20"/>
          <w:szCs w:val="20"/>
          <w:color w:val="auto"/>
        </w:rPr>
      </w:pPr>
      <w:r>
        <w:rPr>
          <w:rFonts w:ascii="Times New Roman" w:cs="Times New Roman" w:eastAsia="Times New Roman" w:hAnsi="Times New Roman"/>
          <w:sz w:val="17"/>
          <w:szCs w:val="17"/>
          <w:color w:val="auto"/>
        </w:rPr>
        <w:t>sufficient distributable reserves to fund a dividend must be made by reference to our most recent unconsolidated annual audited financial statements or other financial statements properly prepared in accordance with the Irish Companies Act. The relevant financial statements must be filed in the Companies Registration Office (the official public registry for companies in Ireland).  </w:t>
      </w:r>
    </w:p>
    <w:p>
      <w:pPr>
        <w:spacing w:after="0" w:line="3" w:lineRule="exact"/>
        <w:rPr>
          <w:sz w:val="20"/>
          <w:szCs w:val="20"/>
          <w:color w:val="auto"/>
        </w:rPr>
      </w:pPr>
    </w:p>
    <w:p>
      <w:pPr>
        <w:jc w:val="both"/>
        <w:ind w:left="2400" w:right="20"/>
        <w:spacing w:after="0" w:line="247" w:lineRule="auto"/>
        <w:rPr>
          <w:sz w:val="20"/>
          <w:szCs w:val="20"/>
          <w:color w:val="auto"/>
        </w:rPr>
      </w:pPr>
      <w:r>
        <w:rPr>
          <w:rFonts w:ascii="Times New Roman" w:cs="Times New Roman" w:eastAsia="Times New Roman" w:hAnsi="Times New Roman"/>
          <w:sz w:val="17"/>
          <w:szCs w:val="17"/>
          <w:color w:val="auto"/>
        </w:rPr>
        <w:t>The Constitution authorizes our Board of Directors to declare an interim dividend without shareholder approval to the extent they appear justified by profits of the Company available for distribution. Our Board of Directors may also recommend a dividend to be approved and declared by the shareholders at a general meeting,</w:t>
      </w: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18472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599"/>
        <w:spacing w:after="0" w:line="253" w:lineRule="auto"/>
        <w:rPr>
          <w:sz w:val="20"/>
          <w:szCs w:val="20"/>
          <w:color w:val="auto"/>
        </w:rPr>
      </w:pPr>
      <w:r>
        <w:rPr>
          <w:rFonts w:ascii="Times New Roman" w:cs="Times New Roman" w:eastAsia="Times New Roman" w:hAnsi="Times New Roman"/>
          <w:sz w:val="17"/>
          <w:szCs w:val="17"/>
          <w:color w:val="auto"/>
        </w:rPr>
        <w:t>Under Delaware law, subject to any restriction in the corporation’s certificate of incorporation, the Board may declare and pay dividends out of:  </w:t>
      </w:r>
    </w:p>
    <w:p>
      <w:pPr>
        <w:spacing w:after="0" w:line="195" w:lineRule="exact"/>
        <w:rPr>
          <w:sz w:val="20"/>
          <w:szCs w:val="20"/>
          <w:color w:val="auto"/>
        </w:rPr>
      </w:pPr>
    </w:p>
    <w:p>
      <w:pPr>
        <w:jc w:val="both"/>
        <w:ind w:left="360" w:right="599" w:hanging="361"/>
        <w:spacing w:after="0" w:line="246" w:lineRule="auto"/>
        <w:rPr>
          <w:sz w:val="20"/>
          <w:szCs w:val="20"/>
          <w:color w:val="auto"/>
        </w:rPr>
      </w:pPr>
      <w:r>
        <w:rPr>
          <w:rFonts w:ascii="Times New Roman" w:cs="Times New Roman" w:eastAsia="Times New Roman" w:hAnsi="Times New Roman"/>
          <w:sz w:val="17"/>
          <w:szCs w:val="17"/>
          <w:color w:val="auto"/>
        </w:rPr>
        <w:t>(1)  surplus of the corporation, which is defined as net assets less statutory capital; or</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w:t>
      </w:r>
    </w:p>
    <w:p>
      <w:pPr>
        <w:spacing w:after="0" w:line="5" w:lineRule="exact"/>
        <w:rPr>
          <w:sz w:val="20"/>
          <w:szCs w:val="20"/>
          <w:color w:val="auto"/>
        </w:rPr>
      </w:pPr>
    </w:p>
    <w:p>
      <w:pPr>
        <w:jc w:val="both"/>
        <w:ind w:left="360" w:right="599" w:hanging="361"/>
        <w:spacing w:after="0" w:line="246" w:lineRule="auto"/>
        <w:rPr>
          <w:sz w:val="20"/>
          <w:szCs w:val="20"/>
          <w:color w:val="auto"/>
        </w:rPr>
      </w:pPr>
      <w:r>
        <w:rPr>
          <w:rFonts w:ascii="Times New Roman" w:cs="Times New Roman" w:eastAsia="Times New Roman" w:hAnsi="Times New Roman"/>
          <w:sz w:val="17"/>
          <w:szCs w:val="17"/>
          <w:color w:val="auto"/>
        </w:rPr>
        <w:t>(2)  if no surplus exists, out of the net profits of the corporation for the year in which the dividend is declared and/or the preceding year;</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w:t>
      </w:r>
    </w:p>
    <w:p>
      <w:pPr>
        <w:spacing w:after="0" w:line="5" w:lineRule="exact"/>
        <w:rPr>
          <w:sz w:val="20"/>
          <w:szCs w:val="20"/>
          <w:color w:val="auto"/>
        </w:rPr>
      </w:pPr>
    </w:p>
    <w:p>
      <w:pPr>
        <w:jc w:val="both"/>
        <w:ind w:right="599"/>
        <w:spacing w:after="0" w:line="247" w:lineRule="auto"/>
        <w:rPr>
          <w:sz w:val="20"/>
          <w:szCs w:val="20"/>
          <w:color w:val="auto"/>
        </w:rPr>
      </w:pPr>
      <w:r>
        <w:rPr>
          <w:rFonts w:ascii="Times New Roman" w:cs="Times New Roman" w:eastAsia="Times New Roman" w:hAnsi="Times New Roman"/>
          <w:sz w:val="17"/>
          <w:szCs w:val="17"/>
          <w:color w:val="auto"/>
        </w:rPr>
        <w:t>provided, however, that if the capital of the corporation has been diminished to an amount less than the aggregate amount of capital represented by the issued and outstanding stock of all classes having preference upon the distribution of assets, the Board may not declare and pay dividends out of the corporation’s net profits until the deficiency in the capital has been repaired.</w:t>
      </w:r>
    </w:p>
    <w:p>
      <w:pPr>
        <w:sectPr>
          <w:pgSz w:w="11900" w:h="16838" w:orient="portrait"/>
          <w:cols w:equalWidth="0" w:num="2">
            <w:col w:w="5320" w:space="180"/>
            <w:col w:w="3519"/>
          </w:cols>
          <w:pgMar w:left="1440" w:top="253"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50"/>
        </w:trPr>
        <w:tc>
          <w:tcPr>
            <w:tcW w:w="2800" w:type="dxa"/>
            <w:vAlign w:val="bottom"/>
            <w:gridSpan w:val="3"/>
          </w:tcPr>
          <w:p>
            <w:pPr>
              <w:ind w:left="1200"/>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69"/>
        </w:trPr>
        <w:tc>
          <w:tcPr>
            <w:tcW w:w="1200" w:type="dxa"/>
            <w:vAlign w:val="bottom"/>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IRELAND</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676"/>
              <w:spacing w:after="0"/>
              <w:rPr>
                <w:sz w:val="20"/>
                <w:szCs w:val="20"/>
                <w:color w:val="auto"/>
              </w:rPr>
            </w:pPr>
            <w:r>
              <w:rPr>
                <w:rFonts w:ascii="Times New Roman" w:cs="Times New Roman" w:eastAsia="Times New Roman" w:hAnsi="Times New Roman"/>
                <w:sz w:val="13"/>
                <w:szCs w:val="13"/>
                <w:b w:val="1"/>
                <w:bCs w:val="1"/>
                <w:color w:val="auto"/>
                <w:w w:val="99"/>
              </w:rPr>
              <w:t>DELAWARE</w:t>
            </w:r>
          </w:p>
        </w:tc>
        <w:tc>
          <w:tcPr>
            <w:tcW w:w="20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r>
      <w:tr>
        <w:trPr>
          <w:trHeight w:val="189"/>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5"/>
          </w:tcPr>
          <w:p>
            <w:pPr>
              <w:spacing w:after="0" w:line="189" w:lineRule="exact"/>
              <w:rPr>
                <w:sz w:val="20"/>
                <w:szCs w:val="20"/>
                <w:color w:val="auto"/>
              </w:rPr>
            </w:pPr>
            <w:r>
              <w:rPr>
                <w:rFonts w:ascii="Times New Roman" w:cs="Times New Roman" w:eastAsia="Times New Roman" w:hAnsi="Times New Roman"/>
                <w:sz w:val="17"/>
                <w:szCs w:val="17"/>
                <w:color w:val="auto"/>
              </w:rPr>
              <w:t>provided  that  no  dividend  issued  may</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exceed the amount recommended by the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7"/>
        </w:trPr>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85"/>
        </w:trPr>
        <w:tc>
          <w:tcPr>
            <w:tcW w:w="280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General Provisions</w:t>
            </w: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w w:val="98"/>
              </w:rPr>
              <w:t>Our duration will be unlimited. We may be</w:t>
            </w: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Upon  the  dissolution  of  a  Delaware</w:t>
            </w:r>
          </w:p>
        </w:tc>
        <w:tc>
          <w:tcPr>
            <w:tcW w:w="1200" w:type="dxa"/>
            <w:vAlign w:val="bottom"/>
          </w:tcPr>
          <w:p>
            <w:pPr>
              <w:spacing w:after="0"/>
              <w:rPr>
                <w:sz w:val="24"/>
                <w:szCs w:val="24"/>
                <w:color w:val="auto"/>
              </w:rPr>
            </w:pPr>
          </w:p>
        </w:tc>
      </w:tr>
      <w:tr>
        <w:trPr>
          <w:trHeight w:val="201"/>
        </w:trPr>
        <w:tc>
          <w:tcPr>
            <w:tcW w:w="280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Governing a</w:t>
            </w: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dissolved and wound up at any time by</w:t>
            </w: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w w:val="99"/>
              </w:rPr>
              <w:t>corporation, after satisfaction of the claims</w:t>
            </w:r>
          </w:p>
        </w:tc>
        <w:tc>
          <w:tcPr>
            <w:tcW w:w="1200" w:type="dxa"/>
            <w:vAlign w:val="bottom"/>
          </w:tcPr>
          <w:p>
            <w:pPr>
              <w:spacing w:after="0"/>
              <w:rPr>
                <w:sz w:val="17"/>
                <w:szCs w:val="17"/>
                <w:color w:val="auto"/>
              </w:rPr>
            </w:pPr>
          </w:p>
        </w:tc>
      </w:tr>
      <w:tr>
        <w:trPr>
          <w:trHeight w:val="201"/>
        </w:trPr>
        <w:tc>
          <w:tcPr>
            <w:tcW w:w="280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Liquidation;</w:t>
            </w: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way of a shareholders’ voluntary winding</w:t>
            </w: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of creditors, the assets of that corporation</w:t>
            </w:r>
          </w:p>
        </w:tc>
        <w:tc>
          <w:tcPr>
            <w:tcW w:w="1200" w:type="dxa"/>
            <w:vAlign w:val="bottom"/>
          </w:tcPr>
          <w:p>
            <w:pPr>
              <w:spacing w:after="0"/>
              <w:rPr>
                <w:sz w:val="17"/>
                <w:szCs w:val="17"/>
                <w:color w:val="auto"/>
              </w:rPr>
            </w:pPr>
          </w:p>
        </w:tc>
      </w:tr>
      <w:tr>
        <w:trPr>
          <w:trHeight w:val="201"/>
        </w:trPr>
        <w:tc>
          <w:tcPr>
            <w:tcW w:w="280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Liquidation</w:t>
            </w: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up or a creditors’ winding up. In the case</w:t>
            </w: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would be distributed to stockholders in</w:t>
            </w:r>
          </w:p>
        </w:tc>
        <w:tc>
          <w:tcPr>
            <w:tcW w:w="1200" w:type="dxa"/>
            <w:vAlign w:val="bottom"/>
          </w:tcPr>
          <w:p>
            <w:pPr>
              <w:spacing w:after="0"/>
              <w:rPr>
                <w:sz w:val="17"/>
                <w:szCs w:val="17"/>
                <w:color w:val="auto"/>
              </w:rPr>
            </w:pPr>
          </w:p>
        </w:tc>
      </w:tr>
      <w:tr>
        <w:trPr>
          <w:trHeight w:val="201"/>
        </w:trPr>
        <w:tc>
          <w:tcPr>
            <w:tcW w:w="280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Distributions</w:t>
            </w: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of a shareholders’ voluntary winding up, a</w:t>
            </w: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accordance with their respective interests,</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special resolution of our shareholders is</w:t>
            </w: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including any rights a holder of shares of</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w w:val="97"/>
              </w:rPr>
              <w:t>required. We may also be dissolved by way</w:t>
            </w: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preference shares may have to preferred</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of court order on the application of a</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distributions</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upon</w:t>
            </w:r>
          </w:p>
        </w:tc>
        <w:tc>
          <w:tcPr>
            <w:tcW w:w="1020" w:type="dxa"/>
            <w:vAlign w:val="bottom"/>
          </w:tcPr>
          <w:p>
            <w:pPr>
              <w:jc w:val="center"/>
              <w:ind w:right="96"/>
              <w:spacing w:after="0"/>
              <w:rPr>
                <w:sz w:val="20"/>
                <w:szCs w:val="20"/>
                <w:color w:val="auto"/>
              </w:rPr>
            </w:pPr>
            <w:r>
              <w:rPr>
                <w:rFonts w:ascii="Times New Roman" w:cs="Times New Roman" w:eastAsia="Times New Roman" w:hAnsi="Times New Roman"/>
                <w:sz w:val="17"/>
                <w:szCs w:val="17"/>
                <w:color w:val="auto"/>
                <w:w w:val="96"/>
              </w:rPr>
              <w:t>dissolution</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or</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creditor, or by the Companies Registration</w:t>
            </w:r>
          </w:p>
        </w:tc>
        <w:tc>
          <w:tcPr>
            <w:tcW w:w="29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liquidation of the corporation.</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Office as an enforcement measure where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we have failed to file certain returns.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w w:val="98"/>
              </w:rPr>
              <w:t>The rights of the shareholders to a return of</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our assets on dissolution or winding up,</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following the settlement of all claims of</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creditors,</w:t>
            </w: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are</w:t>
            </w: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7"/>
                <w:szCs w:val="17"/>
                <w:color w:val="auto"/>
              </w:rPr>
              <w:t>prescribed</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w:t>
            </w:r>
          </w:p>
        </w:tc>
        <w:tc>
          <w:tcPr>
            <w:tcW w:w="34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6"/>
              </w:rPr>
              <w:t>the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7"/>
        </w:trPr>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7"/>
              </w:rPr>
              <w:t>Constitution.</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81"/>
        </w:trPr>
        <w:tc>
          <w:tcPr>
            <w:tcW w:w="280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Amendment of</w:t>
            </w: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Irish  company  law  requires  a  special</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Amendment</w:t>
            </w:r>
          </w:p>
        </w:tc>
        <w:tc>
          <w:tcPr>
            <w:tcW w:w="420" w:type="dxa"/>
            <w:vAlign w:val="bottom"/>
          </w:tcPr>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of</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i w:val="1"/>
                <w:iCs w:val="1"/>
                <w:color w:val="auto"/>
              </w:rPr>
              <w:t>Certification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of</w:t>
            </w:r>
          </w:p>
        </w:tc>
        <w:tc>
          <w:tcPr>
            <w:tcW w:w="1200" w:type="dxa"/>
            <w:vAlign w:val="bottom"/>
          </w:tcPr>
          <w:p>
            <w:pPr>
              <w:spacing w:after="0"/>
              <w:rPr>
                <w:sz w:val="24"/>
                <w:szCs w:val="24"/>
                <w:color w:val="auto"/>
              </w:rPr>
            </w:pPr>
          </w:p>
        </w:tc>
      </w:tr>
      <w:tr>
        <w:trPr>
          <w:trHeight w:val="205"/>
        </w:trPr>
        <w:tc>
          <w:tcPr>
            <w:tcW w:w="280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Constitution</w:t>
            </w: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w w:val="98"/>
              </w:rPr>
              <w:t>resolution of our shareholders (approval by</w:t>
            </w:r>
          </w:p>
        </w:tc>
        <w:tc>
          <w:tcPr>
            <w:tcW w:w="290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Incorporation and Bylaws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not less than 75% of the votes cast at a</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general meeting of our shareholders) to</w:t>
            </w: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Under Delaware law, amendments to a</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approve   any   amendments   to   the</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corporation’s</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99"/>
              </w:rPr>
              <w:t>certificate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of incorporation</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7"/>
              </w:rPr>
              <w:t>Constitution.</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require  the  approval  of  stockholders</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holding  a  majority  of  the  outstanding</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shares entitled to vote on the amendment.</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If  a  class  vote  on  the  amendment  is</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required   by   the   Delaware   General</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Corporation  Law,  a  majority  of  the</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outstanding stock of the class is required,</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unless a greater proportion is specified in</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the certificate of incorporation or by other</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provisions  of  the  Delaware  General</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Corporation  Law.  Under  the  Delaware</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General Corporation Law, the board of</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directors  may  amend  bylaws  if  so</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authorized</w:t>
            </w:r>
          </w:p>
        </w:tc>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w:t>
            </w:r>
          </w:p>
        </w:tc>
        <w:tc>
          <w:tcPr>
            <w:tcW w:w="32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6"/>
              </w:rPr>
              <w:t>the</w:t>
            </w:r>
          </w:p>
        </w:tc>
        <w:tc>
          <w:tcPr>
            <w:tcW w:w="1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certificate</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of</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w w:val="98"/>
              </w:rPr>
              <w:t>incorporation.</w:t>
            </w:r>
          </w:p>
        </w:tc>
        <w:tc>
          <w:tcPr>
            <w:tcW w:w="4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0"/>
              </w:rPr>
              <w:t>The</w:t>
            </w:r>
          </w:p>
        </w:tc>
        <w:tc>
          <w:tcPr>
            <w:tcW w:w="1340" w:type="dxa"/>
            <w:vAlign w:val="bottom"/>
            <w:gridSpan w:val="2"/>
          </w:tcPr>
          <w:p>
            <w:pPr>
              <w:jc w:val="center"/>
              <w:ind w:left="36"/>
              <w:spacing w:after="0"/>
              <w:rPr>
                <w:sz w:val="20"/>
                <w:szCs w:val="20"/>
                <w:color w:val="auto"/>
              </w:rPr>
            </w:pPr>
            <w:r>
              <w:rPr>
                <w:rFonts w:ascii="Times New Roman" w:cs="Times New Roman" w:eastAsia="Times New Roman" w:hAnsi="Times New Roman"/>
                <w:sz w:val="17"/>
                <w:szCs w:val="17"/>
                <w:color w:val="auto"/>
              </w:rPr>
              <w:t>stockholders  of</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Delaware corporation also have the power</w:t>
            </w:r>
          </w:p>
        </w:tc>
        <w:tc>
          <w:tcPr>
            <w:tcW w:w="1200" w:type="dxa"/>
            <w:vAlign w:val="bottom"/>
          </w:tcPr>
          <w:p>
            <w:pPr>
              <w:spacing w:after="0"/>
              <w:rPr>
                <w:sz w:val="17"/>
                <w:szCs w:val="17"/>
                <w:color w:val="auto"/>
              </w:rPr>
            </w:pPr>
          </w:p>
        </w:tc>
      </w:tr>
      <w:tr>
        <w:trPr>
          <w:trHeight w:val="217"/>
        </w:trPr>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to amend bylaws.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85"/>
        </w:trPr>
        <w:tc>
          <w:tcPr>
            <w:tcW w:w="280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Reduction of Share</w:t>
            </w: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We  may  reduce  our  authorized  but</w:t>
            </w: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Under Delaware law, a corporation, by an</w:t>
            </w:r>
          </w:p>
        </w:tc>
        <w:tc>
          <w:tcPr>
            <w:tcW w:w="1200" w:type="dxa"/>
            <w:vAlign w:val="bottom"/>
          </w:tcPr>
          <w:p>
            <w:pPr>
              <w:spacing w:after="0"/>
              <w:rPr>
                <w:sz w:val="24"/>
                <w:szCs w:val="24"/>
                <w:color w:val="auto"/>
              </w:rPr>
            </w:pPr>
          </w:p>
        </w:tc>
      </w:tr>
      <w:tr>
        <w:trPr>
          <w:trHeight w:val="201"/>
        </w:trPr>
        <w:tc>
          <w:tcPr>
            <w:tcW w:w="280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Capital</w:t>
            </w: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unissued  share  capital  in  any  manner</w:t>
            </w: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affirmative vote of a majority of the board</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permitted by the Irish Companies Act. We</w:t>
            </w: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of directors, may reduce its capital by</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also may, by special resolution (approved</w:t>
            </w: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reducing  or  eliminating  the  capital</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by not less than 75% of the votes cast at a</w:t>
            </w: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represented  by  shares  of  capital  stock</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general meeting of our shareholders) and</w:t>
            </w: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which have been retired, by applying to an</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subject to confirmation by the Irish High</w:t>
            </w:r>
          </w:p>
        </w:tc>
        <w:tc>
          <w:tcPr>
            <w:tcW w:w="15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already authorized</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purchase redemption,</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Court, reduce our issued share capital in</w:t>
            </w: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conversion  or  exchange  of  outstanding</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any way permitted by the Irish Companies</w:t>
            </w: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w w:val="98"/>
              </w:rPr>
              <w:t>shares of its capital stock some or all of the</w:t>
            </w:r>
          </w:p>
        </w:tc>
        <w:tc>
          <w:tcPr>
            <w:tcW w:w="120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Act.</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rPr>
              <w:t>capital  represented  by  shares  being</w:t>
            </w:r>
          </w:p>
        </w:tc>
        <w:tc>
          <w:tcPr>
            <w:tcW w:w="1200" w:type="dxa"/>
            <w:vAlign w:val="bottom"/>
          </w:tcPr>
          <w:p>
            <w:pPr>
              <w:spacing w:after="0"/>
              <w:rPr>
                <w:sz w:val="17"/>
                <w:szCs w:val="17"/>
                <w:color w:val="auto"/>
              </w:rPr>
            </w:pPr>
          </w:p>
        </w:tc>
      </w:tr>
      <w:tr>
        <w:trPr>
          <w:trHeight w:val="217"/>
        </w:trPr>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purchased, redeemed, converted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51"/>
        </w:trPr>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1"/>
        </w:trPr>
        <w:tc>
          <w:tcPr>
            <w:tcW w:w="1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bl>
    <w:p>
      <w:pPr>
        <w:sectPr>
          <w:pgSz w:w="11900" w:h="16838" w:orient="portrait"/>
          <w:cols w:equalWidth="0" w:num="1">
            <w:col w:w="10220"/>
          </w:cols>
          <w:pgMar w:left="840" w:top="253" w:right="839" w:bottom="1440" w:gutter="0" w:footer="0" w:header="0"/>
        </w:sectPr>
      </w:pPr>
    </w:p>
    <w:bookmarkStart w:id="29" w:name="page30"/>
    <w:bookmarkEnd w:id="29"/>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14" w:lineRule="exact"/>
        <w:rPr>
          <w:sz w:val="20"/>
          <w:szCs w:val="20"/>
          <w:color w:val="auto"/>
        </w:rPr>
      </w:pPr>
    </w:p>
    <w:p>
      <w:pPr>
        <w:jc w:val="center"/>
        <w:ind w:left="2400"/>
        <w:spacing w:after="0"/>
        <w:rPr>
          <w:sz w:val="20"/>
          <w:szCs w:val="20"/>
          <w:color w:val="auto"/>
        </w:rPr>
      </w:pPr>
      <w:r>
        <w:rPr>
          <w:rFonts w:ascii="Times New Roman" w:cs="Times New Roman" w:eastAsia="Times New Roman" w:hAnsi="Times New Roman"/>
          <w:sz w:val="13"/>
          <w:szCs w:val="13"/>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15875</wp:posOffset>
            </wp:positionV>
            <wp:extent cx="18472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14" w:lineRule="exact"/>
        <w:rPr>
          <w:sz w:val="20"/>
          <w:szCs w:val="20"/>
          <w:color w:val="auto"/>
        </w:rPr>
      </w:pPr>
    </w:p>
    <w:p>
      <w:pPr>
        <w:ind w:left="2400"/>
        <w:spacing w:after="0" w:line="252" w:lineRule="auto"/>
        <w:rPr>
          <w:sz w:val="20"/>
          <w:szCs w:val="20"/>
          <w:color w:val="auto"/>
        </w:rPr>
      </w:pPr>
      <w:r>
        <w:rPr>
          <w:rFonts w:ascii="Times New Roman" w:cs="Times New Roman" w:eastAsia="Times New Roman" w:hAnsi="Times New Roman"/>
          <w:sz w:val="17"/>
          <w:szCs w:val="17"/>
          <w:color w:val="auto"/>
        </w:rPr>
        <w:t>For purposes of Irish law, repurchases of our shares may be effected by a redemption if the repurchased shares are redeemable shares or are deemed to be redeemable shares by the Constitution.  </w:t>
      </w:r>
    </w:p>
    <w:p>
      <w:pPr>
        <w:spacing w:after="0" w:line="194" w:lineRule="exact"/>
        <w:rPr>
          <w:sz w:val="20"/>
          <w:szCs w:val="20"/>
          <w:color w:val="auto"/>
        </w:rPr>
      </w:pPr>
    </w:p>
    <w:p>
      <w:pPr>
        <w:jc w:val="both"/>
        <w:ind w:left="2400"/>
        <w:spacing w:after="0" w:line="263" w:lineRule="auto"/>
        <w:rPr>
          <w:sz w:val="20"/>
          <w:szCs w:val="20"/>
          <w:color w:val="auto"/>
        </w:rPr>
      </w:pPr>
      <w:r>
        <w:rPr>
          <w:rFonts w:ascii="Times New Roman" w:cs="Times New Roman" w:eastAsia="Times New Roman" w:hAnsi="Times New Roman"/>
          <w:sz w:val="16"/>
          <w:szCs w:val="16"/>
          <w:color w:val="auto"/>
        </w:rPr>
        <w:t>The Constitution provides that, unless the Board of Directors determines otherwise, each of our shares shall be deemed to be a redeemable share on, and from the time of, the existence or creation of an agreement, transaction or trade between us and any person pursuant to which we acquire or will acquire our shares, or an interest in our shares, from the relevant person. Redeemable shares of ours shall have the same characteristics as any other of our shares save that they shall be redeemable in accordance with the arrangement.</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18472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14" w:lineRule="exact"/>
        <w:rPr>
          <w:sz w:val="20"/>
          <w:szCs w:val="20"/>
          <w:color w:val="auto"/>
        </w:rPr>
      </w:pPr>
    </w:p>
    <w:p>
      <w:pPr>
        <w:jc w:val="both"/>
        <w:ind w:right="599"/>
        <w:spacing w:after="0" w:line="248" w:lineRule="auto"/>
        <w:rPr>
          <w:sz w:val="20"/>
          <w:szCs w:val="20"/>
          <w:color w:val="auto"/>
        </w:rPr>
      </w:pPr>
      <w:r>
        <w:rPr>
          <w:rFonts w:ascii="Times New Roman" w:cs="Times New Roman" w:eastAsia="Times New Roman" w:hAnsi="Times New Roman"/>
          <w:sz w:val="17"/>
          <w:szCs w:val="17"/>
          <w:color w:val="auto"/>
        </w:rPr>
        <w:t>or exchanged or any capital that has not been allocated to any particular class of capital stock or by transferring to surplus capital some or all of the capital not represented by any particular class of its capital stock or the capital associated with certain issued shares of its par value capital stock. No reduction of capital may be made unless the assets of the corporation remaining after the reduction are sufficient to pay any debts for which payment has not otherwise been provided.</w:t>
      </w:r>
    </w:p>
    <w:p>
      <w:pPr>
        <w:spacing w:after="0" w:line="1588" w:lineRule="exact"/>
        <w:rPr>
          <w:sz w:val="20"/>
          <w:szCs w:val="20"/>
          <w:color w:val="auto"/>
        </w:rPr>
      </w:pPr>
    </w:p>
    <w:p>
      <w:pPr>
        <w:sectPr>
          <w:pgSz w:w="11900" w:h="16838" w:orient="portrait"/>
          <w:cols w:equalWidth="0" w:num="2">
            <w:col w:w="5300" w:space="200"/>
            <w:col w:w="3519"/>
          </w:cols>
          <w:pgMar w:left="1440" w:top="253" w:right="1440" w:bottom="1440" w:gutter="0" w:footer="0" w:header="0"/>
        </w:sectPr>
      </w:pPr>
    </w:p>
    <w:p>
      <w:pPr>
        <w:ind w:left="600"/>
        <w:spacing w:after="0"/>
        <w:tabs>
          <w:tab w:leader="none" w:pos="2380" w:val="left"/>
        </w:tabs>
        <w:rPr>
          <w:sz w:val="20"/>
          <w:szCs w:val="20"/>
          <w:color w:val="auto"/>
        </w:rPr>
      </w:pPr>
      <w:r>
        <w:rPr>
          <w:rFonts w:ascii="Times New Roman" w:cs="Times New Roman" w:eastAsia="Times New Roman" w:hAnsi="Times New Roman"/>
          <w:sz w:val="17"/>
          <w:szCs w:val="17"/>
          <w:color w:val="auto"/>
        </w:rPr>
        <w:t>Rights of Inspection</w:t>
      </w:r>
      <w:r>
        <w:rPr>
          <w:sz w:val="20"/>
          <w:szCs w:val="20"/>
          <w:color w:val="auto"/>
        </w:rPr>
        <w:tab/>
      </w:r>
      <w:r>
        <w:rPr>
          <w:rFonts w:ascii="Times New Roman" w:cs="Times New Roman" w:eastAsia="Times New Roman" w:hAnsi="Times New Roman"/>
          <w:sz w:val="17"/>
          <w:szCs w:val="17"/>
          <w:color w:val="auto"/>
        </w:rPr>
        <w:t>Under Irish law, our shareholders have the</w:t>
      </w:r>
    </w:p>
    <w:p>
      <w:pPr>
        <w:spacing w:after="0" w:line="21" w:lineRule="exact"/>
        <w:rPr>
          <w:sz w:val="20"/>
          <w:szCs w:val="20"/>
          <w:color w:val="auto"/>
        </w:rPr>
      </w:pPr>
    </w:p>
    <w:p>
      <w:pPr>
        <w:ind w:left="2400"/>
        <w:spacing w:after="0"/>
        <w:tabs>
          <w:tab w:leader="none" w:pos="2840" w:val="left"/>
          <w:tab w:leader="none" w:pos="3160" w:val="left"/>
          <w:tab w:leader="none" w:pos="3460" w:val="left"/>
          <w:tab w:leader="none" w:pos="4100" w:val="left"/>
          <w:tab w:leader="none" w:pos="4320" w:val="left"/>
          <w:tab w:leader="none" w:pos="4800" w:val="left"/>
          <w:tab w:leader="none" w:pos="5080" w:val="left"/>
        </w:tabs>
        <w:rPr>
          <w:sz w:val="20"/>
          <w:szCs w:val="20"/>
          <w:color w:val="auto"/>
        </w:rPr>
      </w:pPr>
      <w:r>
        <w:rPr>
          <w:rFonts w:ascii="Times New Roman" w:cs="Times New Roman" w:eastAsia="Times New Roman" w:hAnsi="Times New Roman"/>
          <w:sz w:val="17"/>
          <w:szCs w:val="17"/>
          <w:color w:val="auto"/>
        </w:rPr>
        <w:t>right</w:t>
        <w:tab/>
        <w:t>to:</w:t>
        <w:tab/>
        <w:t>(i)</w:t>
        <w:tab/>
        <w:t>receive</w:t>
        <w:tab/>
        <w:t>a</w:t>
        <w:tab/>
        <w:t>copy</w:t>
        <w:tab/>
        <w:t>of</w:t>
      </w:r>
      <w:r>
        <w:rPr>
          <w:sz w:val="20"/>
          <w:szCs w:val="20"/>
          <w:color w:val="auto"/>
        </w:rPr>
        <w:tab/>
      </w:r>
      <w:r>
        <w:rPr>
          <w:rFonts w:ascii="Times New Roman" w:cs="Times New Roman" w:eastAsia="Times New Roman" w:hAnsi="Times New Roman"/>
          <w:sz w:val="16"/>
          <w:szCs w:val="16"/>
          <w:color w:val="auto"/>
        </w:rPr>
        <w:t>the</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Constitution; (ii) inspect and obtain copies</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of the minutes of our general meetings and</w:t>
      </w:r>
    </w:p>
    <w:p>
      <w:pPr>
        <w:spacing w:after="0" w:line="1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resolutions; (iii) inspect and receive a copy</w:t>
      </w:r>
    </w:p>
    <w:p>
      <w:pPr>
        <w:spacing w:after="0" w:line="1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of our register of members, register of</w:t>
      </w:r>
    </w:p>
    <w:p>
      <w:pPr>
        <w:spacing w:after="0" w:line="5" w:lineRule="exact"/>
        <w:rPr>
          <w:sz w:val="20"/>
          <w:szCs w:val="20"/>
          <w:color w:val="auto"/>
        </w:rPr>
      </w:pPr>
    </w:p>
    <w:p>
      <w:pPr>
        <w:ind w:left="2400"/>
        <w:spacing w:after="0"/>
        <w:tabs>
          <w:tab w:leader="none" w:pos="3140" w:val="left"/>
          <w:tab w:leader="none" w:pos="3560" w:val="left"/>
          <w:tab w:leader="none" w:pos="4480" w:val="left"/>
          <w:tab w:leader="none" w:pos="5140" w:val="left"/>
        </w:tabs>
        <w:rPr>
          <w:sz w:val="20"/>
          <w:szCs w:val="20"/>
          <w:color w:val="auto"/>
        </w:rPr>
      </w:pPr>
      <w:r>
        <w:rPr>
          <w:rFonts w:ascii="Times New Roman" w:cs="Times New Roman" w:eastAsia="Times New Roman" w:hAnsi="Times New Roman"/>
          <w:sz w:val="17"/>
          <w:szCs w:val="17"/>
          <w:color w:val="auto"/>
        </w:rPr>
        <w:t>directors</w:t>
        <w:tab/>
        <w:t>and</w:t>
        <w:tab/>
        <w:t>secretaries,</w:t>
        <w:tab/>
        <w:t>register</w:t>
      </w:r>
      <w:r>
        <w:rPr>
          <w:sz w:val="20"/>
          <w:szCs w:val="20"/>
          <w:color w:val="auto"/>
        </w:rPr>
        <w:tab/>
      </w:r>
      <w:r>
        <w:rPr>
          <w:rFonts w:ascii="Times New Roman" w:cs="Times New Roman" w:eastAsia="Times New Roman" w:hAnsi="Times New Roman"/>
          <w:sz w:val="16"/>
          <w:szCs w:val="16"/>
          <w:color w:val="auto"/>
        </w:rPr>
        <w:t>of</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directors’ interests, register of directors’</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service contracts and memoranda and other</w:t>
      </w:r>
    </w:p>
    <w:p>
      <w:pPr>
        <w:spacing w:after="0" w:line="17" w:lineRule="exact"/>
        <w:rPr>
          <w:sz w:val="20"/>
          <w:szCs w:val="20"/>
          <w:color w:val="auto"/>
        </w:rPr>
      </w:pPr>
    </w:p>
    <w:p>
      <w:pPr>
        <w:ind w:left="2400"/>
        <w:spacing w:after="0"/>
        <w:tabs>
          <w:tab w:leader="none" w:pos="3140" w:val="left"/>
          <w:tab w:leader="none" w:pos="3860" w:val="left"/>
          <w:tab w:leader="none" w:pos="4300" w:val="left"/>
          <w:tab w:leader="none" w:pos="4660" w:val="left"/>
        </w:tabs>
        <w:rPr>
          <w:sz w:val="20"/>
          <w:szCs w:val="20"/>
          <w:color w:val="auto"/>
        </w:rPr>
      </w:pPr>
      <w:r>
        <w:rPr>
          <w:rFonts w:ascii="Times New Roman" w:cs="Times New Roman" w:eastAsia="Times New Roman" w:hAnsi="Times New Roman"/>
          <w:sz w:val="17"/>
          <w:szCs w:val="17"/>
          <w:color w:val="auto"/>
        </w:rPr>
        <w:t>statutory</w:t>
        <w:tab/>
        <w:t>registers</w:t>
        <w:tab/>
        <w:t>that</w:t>
        <w:tab/>
        <w:t>we</w:t>
      </w:r>
      <w:r>
        <w:rPr>
          <w:sz w:val="20"/>
          <w:szCs w:val="20"/>
          <w:color w:val="auto"/>
        </w:rPr>
        <w:tab/>
      </w:r>
      <w:r>
        <w:rPr>
          <w:rFonts w:ascii="Times New Roman" w:cs="Times New Roman" w:eastAsia="Times New Roman" w:hAnsi="Times New Roman"/>
          <w:sz w:val="16"/>
          <w:szCs w:val="16"/>
          <w:color w:val="auto"/>
        </w:rPr>
        <w:t>maintain;</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(iv) receive copies of balance sheets and</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directors’ and auditors’ reports that have</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previously been sent to our shareholders</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prior to an annual general meeting; and</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(v) receive balance sheets of any of our</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subsidiaries that have previously been sent</w:t>
      </w:r>
    </w:p>
    <w:p>
      <w:pPr>
        <w:spacing w:after="0" w:line="1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to our shareholders prior to an annual</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general meeting for the preceding 10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99"/>
        <w:spacing w:after="0" w:line="251" w:lineRule="auto"/>
        <w:rPr>
          <w:sz w:val="20"/>
          <w:szCs w:val="20"/>
          <w:color w:val="auto"/>
        </w:rPr>
      </w:pPr>
      <w:r>
        <w:rPr>
          <w:rFonts w:ascii="Times New Roman" w:cs="Times New Roman" w:eastAsia="Times New Roman" w:hAnsi="Times New Roman"/>
          <w:sz w:val="17"/>
          <w:szCs w:val="17"/>
          <w:color w:val="auto"/>
        </w:rPr>
        <w:t>Delaware law allows any stockholder in person or by attorney or other agent, upon written demand under oath stating the purpose thereof, during the usual hours for business to inspect for any proper purpose, and to make copies and extracts from:  </w:t>
      </w:r>
    </w:p>
    <w:p>
      <w:pPr>
        <w:spacing w:after="0" w:line="194" w:lineRule="exact"/>
        <w:rPr>
          <w:sz w:val="20"/>
          <w:szCs w:val="20"/>
          <w:color w:val="auto"/>
        </w:rPr>
      </w:pPr>
    </w:p>
    <w:p>
      <w:pPr>
        <w:jc w:val="both"/>
        <w:ind w:left="360" w:right="599" w:hanging="361"/>
        <w:spacing w:after="0" w:line="246" w:lineRule="auto"/>
        <w:rPr>
          <w:sz w:val="20"/>
          <w:szCs w:val="20"/>
          <w:color w:val="auto"/>
        </w:rPr>
      </w:pPr>
      <w:r>
        <w:rPr>
          <w:rFonts w:ascii="Times New Roman" w:cs="Times New Roman" w:eastAsia="Times New Roman" w:hAnsi="Times New Roman"/>
          <w:sz w:val="17"/>
          <w:szCs w:val="17"/>
          <w:color w:val="auto"/>
        </w:rPr>
        <w:t>(1)  the corporation’s stock ledger, a list of its stockholders, and its other books and records; and</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w:t>
      </w:r>
    </w:p>
    <w:p>
      <w:pPr>
        <w:spacing w:after="0" w:line="5" w:lineRule="exact"/>
        <w:rPr>
          <w:sz w:val="20"/>
          <w:szCs w:val="20"/>
          <w:color w:val="auto"/>
        </w:rPr>
      </w:pPr>
    </w:p>
    <w:p>
      <w:pPr>
        <w:jc w:val="both"/>
        <w:ind w:left="360" w:right="619" w:hanging="361"/>
        <w:spacing w:after="0" w:line="246" w:lineRule="auto"/>
        <w:rPr>
          <w:sz w:val="20"/>
          <w:szCs w:val="20"/>
          <w:color w:val="auto"/>
        </w:rPr>
      </w:pPr>
      <w:r>
        <w:rPr>
          <w:rFonts w:ascii="Times New Roman" w:cs="Times New Roman" w:eastAsia="Times New Roman" w:hAnsi="Times New Roman"/>
          <w:sz w:val="17"/>
          <w:szCs w:val="17"/>
          <w:color w:val="auto"/>
        </w:rPr>
        <w:t>(2)  a subsidiary’s books and records, to the extent that:</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w:t>
      </w:r>
    </w:p>
    <w:p>
      <w:pPr>
        <w:spacing w:after="0" w:line="5" w:lineRule="exact"/>
        <w:rPr>
          <w:sz w:val="20"/>
          <w:szCs w:val="20"/>
          <w:color w:val="auto"/>
        </w:rPr>
      </w:pPr>
    </w:p>
    <w:p>
      <w:pPr>
        <w:jc w:val="both"/>
        <w:ind w:left="700" w:right="599" w:hanging="352"/>
        <w:spacing w:after="0" w:line="246" w:lineRule="auto"/>
        <w:rPr>
          <w:sz w:val="20"/>
          <w:szCs w:val="20"/>
          <w:color w:val="auto"/>
        </w:rPr>
      </w:pPr>
      <w:r>
        <w:rPr>
          <w:rFonts w:ascii="Times New Roman" w:cs="Times New Roman" w:eastAsia="Times New Roman" w:hAnsi="Times New Roman"/>
          <w:sz w:val="17"/>
          <w:szCs w:val="17"/>
          <w:color w:val="auto"/>
        </w:rPr>
        <w:t>(a)  the</w:t>
      </w:r>
      <w:r>
        <w:rPr>
          <w:sz w:val="20"/>
          <w:szCs w:val="20"/>
          <w:color w:val="auto"/>
        </w:rPr>
        <w:t xml:space="preserve"> </w:t>
      </w:r>
      <w:r>
        <w:rPr>
          <w:rFonts w:ascii="Times New Roman" w:cs="Times New Roman" w:eastAsia="Times New Roman" w:hAnsi="Times New Roman"/>
          <w:sz w:val="17"/>
          <w:szCs w:val="17"/>
          <w:color w:val="auto"/>
        </w:rPr>
        <w:t>corporation has actual possession and control of such records of such subsidiary; or</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 </w:t>
      </w:r>
    </w:p>
    <w:p>
      <w:pPr>
        <w:spacing w:after="0" w:line="5" w:lineRule="exact"/>
        <w:rPr>
          <w:sz w:val="20"/>
          <w:szCs w:val="20"/>
          <w:color w:val="auto"/>
        </w:rPr>
      </w:pPr>
    </w:p>
    <w:p>
      <w:pPr>
        <w:jc w:val="both"/>
        <w:ind w:left="720" w:right="599" w:hanging="361"/>
        <w:spacing w:after="0" w:line="247" w:lineRule="auto"/>
        <w:rPr>
          <w:sz w:val="20"/>
          <w:szCs w:val="20"/>
          <w:color w:val="auto"/>
        </w:rPr>
      </w:pPr>
      <w:r>
        <w:rPr>
          <w:rFonts w:ascii="Times New Roman" w:cs="Times New Roman" w:eastAsia="Times New Roman" w:hAnsi="Times New Roman"/>
          <w:sz w:val="17"/>
          <w:szCs w:val="17"/>
          <w:color w:val="auto"/>
        </w:rPr>
        <w:t>(b)  the</w:t>
      </w:r>
      <w:r>
        <w:rPr>
          <w:sz w:val="20"/>
          <w:szCs w:val="20"/>
          <w:color w:val="auto"/>
        </w:rPr>
        <w:t xml:space="preserve"> </w:t>
      </w:r>
      <w:r>
        <w:rPr>
          <w:rFonts w:ascii="Times New Roman" w:cs="Times New Roman" w:eastAsia="Times New Roman" w:hAnsi="Times New Roman"/>
          <w:sz w:val="17"/>
          <w:szCs w:val="17"/>
          <w:color w:val="auto"/>
        </w:rPr>
        <w:t>corporation could obtain such records through the exercise of control over such subsidiary, provided that as of the date of the making of the demand:</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 </w:t>
      </w:r>
    </w:p>
    <w:p>
      <w:pPr>
        <w:spacing w:after="0" w:line="5" w:lineRule="exact"/>
        <w:rPr>
          <w:sz w:val="20"/>
          <w:szCs w:val="20"/>
          <w:color w:val="auto"/>
        </w:rPr>
      </w:pPr>
    </w:p>
    <w:p>
      <w:pPr>
        <w:jc w:val="both"/>
        <w:ind w:left="1020" w:right="599" w:hanging="324"/>
        <w:spacing w:after="0" w:line="246" w:lineRule="auto"/>
        <w:rPr>
          <w:sz w:val="20"/>
          <w:szCs w:val="20"/>
          <w:color w:val="auto"/>
        </w:rPr>
      </w:pPr>
      <w:r>
        <w:rPr>
          <w:rFonts w:ascii="Times New Roman" w:cs="Times New Roman" w:eastAsia="Times New Roman" w:hAnsi="Times New Roman"/>
          <w:sz w:val="17"/>
          <w:szCs w:val="17"/>
          <w:color w:val="auto"/>
        </w:rPr>
        <w:t>(i)  the stockholder inspection of such books and records of the subsidiary would not constitute a breach of an agreement between the</w:t>
      </w:r>
    </w:p>
    <w:p>
      <w:pPr>
        <w:spacing w:after="0" w:line="1" w:lineRule="exact"/>
        <w:rPr>
          <w:sz w:val="20"/>
          <w:szCs w:val="20"/>
          <w:color w:val="auto"/>
        </w:rPr>
      </w:pPr>
    </w:p>
    <w:p>
      <w:pPr>
        <w:ind w:left="1020" w:right="599" w:firstLine="13"/>
        <w:spacing w:after="0" w:line="248" w:lineRule="auto"/>
        <w:rPr>
          <w:sz w:val="20"/>
          <w:szCs w:val="20"/>
          <w:color w:val="auto"/>
        </w:rPr>
      </w:pPr>
      <w:r>
        <w:rPr>
          <w:rFonts w:ascii="Times New Roman" w:cs="Times New Roman" w:eastAsia="Times New Roman" w:hAnsi="Times New Roman"/>
          <w:sz w:val="17"/>
          <w:szCs w:val="17"/>
          <w:color w:val="auto"/>
        </w:rPr>
        <w:t>corporation or the subsidiary and a person or persons not affiliated with the corporation; and  </w:t>
      </w:r>
    </w:p>
    <w:p>
      <w:pPr>
        <w:sectPr>
          <w:pgSz w:w="11900" w:h="16838" w:orient="portrait"/>
          <w:cols w:equalWidth="0" w:num="2">
            <w:col w:w="5300" w:space="200"/>
            <w:col w:w="3519"/>
          </w:cols>
          <w:pgMar w:left="1440" w:top="253" w:right="1440" w:bottom="1440" w:gutter="0" w:footer="0" w:header="0"/>
          <w:type w:val="continuous"/>
        </w:sectPr>
      </w:pPr>
    </w:p>
    <w:bookmarkStart w:id="30" w:name="page31"/>
    <w:bookmarkEnd w:id="30"/>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14" w:lineRule="exact"/>
        <w:rPr>
          <w:sz w:val="20"/>
          <w:szCs w:val="20"/>
          <w:color w:val="auto"/>
        </w:rPr>
      </w:pPr>
    </w:p>
    <w:p>
      <w:pPr>
        <w:ind w:left="3540"/>
        <w:spacing w:after="0"/>
        <w:tabs>
          <w:tab w:leader="none" w:pos="6560" w:val="left"/>
        </w:tabs>
        <w:rPr>
          <w:sz w:val="20"/>
          <w:szCs w:val="20"/>
          <w:color w:val="auto"/>
        </w:rPr>
      </w:pPr>
      <w:r>
        <w:rPr>
          <w:rFonts w:ascii="Times New Roman" w:cs="Times New Roman" w:eastAsia="Times New Roman" w:hAnsi="Times New Roman"/>
          <w:sz w:val="13"/>
          <w:szCs w:val="13"/>
          <w:b w:val="1"/>
          <w:bCs w:val="1"/>
          <w:color w:val="auto"/>
        </w:rPr>
        <w:t>IRELAND</w:t>
      </w:r>
      <w:r>
        <w:rPr>
          <w:sz w:val="20"/>
          <w:szCs w:val="20"/>
          <w:color w:val="auto"/>
        </w:rPr>
        <w:tab/>
      </w:r>
      <w:r>
        <w:rPr>
          <w:rFonts w:ascii="Times New Roman" w:cs="Times New Roman" w:eastAsia="Times New Roman" w:hAnsi="Times New Roman"/>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15875</wp:posOffset>
            </wp:positionV>
            <wp:extent cx="38220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22065" cy="8255"/>
                    </a:xfrm>
                    <a:prstGeom prst="rect">
                      <a:avLst/>
                    </a:prstGeom>
                    <a:noFill/>
                  </pic:spPr>
                </pic:pic>
              </a:graphicData>
            </a:graphic>
          </wp:anchor>
        </w:drawing>
      </w:r>
    </w:p>
    <w:p>
      <w:pPr>
        <w:spacing w:after="0" w:line="1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(ii)   the subsidiary would not</w:t>
      </w:r>
    </w:p>
    <w:p>
      <w:pPr>
        <w:spacing w:after="0" w:line="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auto"/>
        </w:rPr>
        <w:t>have the right under the</w:t>
      </w:r>
    </w:p>
    <w:p>
      <w:pPr>
        <w:spacing w:after="0" w:line="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auto"/>
        </w:rPr>
        <w:t>law applicable to it to deny</w:t>
      </w:r>
    </w:p>
    <w:p>
      <w:pPr>
        <w:spacing w:after="0" w:line="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auto"/>
        </w:rPr>
        <w:t>the corporation access to</w:t>
      </w:r>
    </w:p>
    <w:p>
      <w:pPr>
        <w:spacing w:after="0" w:line="5" w:lineRule="exact"/>
        <w:rPr>
          <w:sz w:val="20"/>
          <w:szCs w:val="20"/>
          <w:color w:val="auto"/>
        </w:rPr>
      </w:pPr>
    </w:p>
    <w:p>
      <w:pPr>
        <w:ind w:left="6560"/>
        <w:spacing w:after="0"/>
        <w:tabs>
          <w:tab w:leader="none" w:pos="6980" w:val="left"/>
          <w:tab w:leader="none" w:pos="7520" w:val="left"/>
          <w:tab w:leader="none" w:pos="7900" w:val="left"/>
        </w:tabs>
        <w:rPr>
          <w:sz w:val="20"/>
          <w:szCs w:val="20"/>
          <w:color w:val="auto"/>
        </w:rPr>
      </w:pPr>
      <w:r>
        <w:rPr>
          <w:rFonts w:ascii="Times New Roman" w:cs="Times New Roman" w:eastAsia="Times New Roman" w:hAnsi="Times New Roman"/>
          <w:sz w:val="17"/>
          <w:szCs w:val="17"/>
          <w:color w:val="auto"/>
        </w:rPr>
        <w:t>such</w:t>
        <w:tab/>
        <w:t>books</w:t>
        <w:tab/>
        <w:t>and</w:t>
      </w:r>
      <w:r>
        <w:rPr>
          <w:sz w:val="20"/>
          <w:szCs w:val="20"/>
          <w:color w:val="auto"/>
        </w:rPr>
        <w:tab/>
      </w:r>
      <w:r>
        <w:rPr>
          <w:rFonts w:ascii="Times New Roman" w:cs="Times New Roman" w:eastAsia="Times New Roman" w:hAnsi="Times New Roman"/>
          <w:sz w:val="16"/>
          <w:szCs w:val="16"/>
          <w:color w:val="auto"/>
        </w:rPr>
        <w:t>records</w:t>
      </w:r>
    </w:p>
    <w:p>
      <w:pPr>
        <w:spacing w:after="0" w:line="5" w:lineRule="exact"/>
        <w:rPr>
          <w:sz w:val="20"/>
          <w:szCs w:val="20"/>
          <w:color w:val="auto"/>
        </w:rPr>
      </w:pPr>
    </w:p>
    <w:p>
      <w:pPr>
        <w:ind w:left="6560"/>
        <w:spacing w:after="0"/>
        <w:tabs>
          <w:tab w:leader="none" w:pos="7080" w:val="left"/>
          <w:tab w:leader="none" w:pos="7820" w:val="left"/>
          <w:tab w:leader="none" w:pos="8180" w:val="left"/>
        </w:tabs>
        <w:rPr>
          <w:sz w:val="20"/>
          <w:szCs w:val="20"/>
          <w:color w:val="auto"/>
        </w:rPr>
      </w:pPr>
      <w:r>
        <w:rPr>
          <w:rFonts w:ascii="Times New Roman" w:cs="Times New Roman" w:eastAsia="Times New Roman" w:hAnsi="Times New Roman"/>
          <w:sz w:val="17"/>
          <w:szCs w:val="17"/>
          <w:color w:val="auto"/>
        </w:rPr>
        <w:t>upon</w:t>
        <w:tab/>
        <w:t>demand</w:t>
        <w:tab/>
        <w:t>by</w:t>
        <w:tab/>
        <w:t>the</w:t>
      </w:r>
    </w:p>
    <w:p>
      <w:pPr>
        <w:spacing w:after="0" w:line="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auto"/>
        </w:rPr>
        <w:t>corporation.</w:t>
      </w:r>
    </w:p>
    <w:p>
      <w:pPr>
        <w:sectPr>
          <w:pgSz w:w="11900" w:h="16838" w:orient="portrait"/>
          <w:cols w:equalWidth="0" w:num="1">
            <w:col w:w="9019"/>
          </w:cols>
          <w:pgMar w:left="1440" w:top="253" w:right="1440" w:bottom="1440" w:gutter="0" w:footer="0" w:header="0"/>
        </w:sectPr>
      </w:pPr>
    </w:p>
    <w:p>
      <w:pPr>
        <w:spacing w:after="0" w:line="189" w:lineRule="exact"/>
        <w:rPr>
          <w:sz w:val="20"/>
          <w:szCs w:val="20"/>
          <w:color w:val="auto"/>
        </w:rPr>
      </w:pPr>
    </w:p>
    <w:tbl>
      <w:tblPr>
        <w:tblLayout w:type="fixed"/>
        <w:tblInd w:w="600" w:type="dxa"/>
        <w:tblCellMar>
          <w:top w:w="0" w:type="dxa"/>
          <w:left w:w="0" w:type="dxa"/>
          <w:bottom w:w="0" w:type="dxa"/>
          <w:right w:w="0" w:type="dxa"/>
        </w:tblCellMar>
      </w:tblPr>
      <w:tr>
        <w:trPr>
          <w:trHeight w:val="201"/>
        </w:trPr>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Liability of Directors</w:t>
            </w: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w w:val="97"/>
              </w:rPr>
              <w:t>To the fullest extent permitted by Irish law,</w:t>
            </w:r>
          </w:p>
        </w:tc>
      </w:tr>
      <w:tr>
        <w:trPr>
          <w:trHeight w:val="201"/>
        </w:trPr>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and Officers</w:t>
            </w: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the Constitution contains indemnification</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for  the  benefit  of,  among  others,  our</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w w:val="97"/>
              </w:rPr>
              <w:t>directors, company secretary and executive</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officers. However, as to our directors and</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company  secretary,  this  indemnity  is</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w w:val="99"/>
              </w:rPr>
              <w:t>limited by the Irish Companies Act, which</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prescribes that an advance commitment to</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indemnify only permits a company to pay</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the costs or discharge the liability of a</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director  or  company  secretary  where</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judgment is given in favor of the director</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or  company  secretary  in  any  civil  or</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criminal action in respect of such costs or</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liability, or where an Irish court grants</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relief  because  the  director  or  company</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secretary acted honestly and reasonably</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and  ought  fairly  to  be  excused.  Any</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w w:val="99"/>
              </w:rPr>
              <w:t>provision whereby an Irish company seeks</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to commit in advance to indemnify its</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directors or company secretary over and</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above the limitations imposed by the Irish</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Companies  Act  will  be  void,  whether</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contained  in  its  Constitution  or  any</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contract  between  the  company  and  the</w:t>
            </w:r>
          </w:p>
        </w:tc>
      </w:tr>
      <w:tr>
        <w:trPr>
          <w:trHeight w:val="201"/>
        </w:trPr>
        <w:tc>
          <w:tcPr>
            <w:tcW w:w="1600" w:type="dxa"/>
            <w:vAlign w:val="bottom"/>
          </w:tcPr>
          <w:p>
            <w:pPr>
              <w:spacing w:after="0"/>
              <w:rPr>
                <w:sz w:val="17"/>
                <w:szCs w:val="17"/>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1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  company</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secretary.  This</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restriction does not apply to our executive</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officers  who  are  not  directors,  our</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company secretary or other persons who</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would be considered “officers” within the</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meaning of the Irish Companies Act.</w:t>
            </w:r>
          </w:p>
        </w:tc>
      </w:tr>
      <w:tr>
        <w:trPr>
          <w:trHeight w:val="201"/>
        </w:trPr>
        <w:tc>
          <w:tcPr>
            <w:tcW w:w="1600" w:type="dxa"/>
            <w:vAlign w:val="bottom"/>
          </w:tcPr>
          <w:p>
            <w:pPr>
              <w:spacing w:after="0"/>
              <w:rPr>
                <w:sz w:val="17"/>
                <w:szCs w:val="17"/>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1600" w:type="dxa"/>
            <w:vAlign w:val="bottom"/>
          </w:tcPr>
          <w:p>
            <w:pPr>
              <w:spacing w:after="0"/>
              <w:rPr>
                <w:sz w:val="17"/>
                <w:szCs w:val="17"/>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w:t>
            </w: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Constitution</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4"/>
              </w:rPr>
              <w:t>also</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contains</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w w:val="99"/>
              </w:rPr>
              <w:t>indemnification and expense advancement</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provisions  for  persons  who  are  not</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directors or our corporate secretary.</w:t>
            </w:r>
          </w:p>
        </w:tc>
      </w:tr>
      <w:tr>
        <w:trPr>
          <w:trHeight w:val="201"/>
        </w:trPr>
        <w:tc>
          <w:tcPr>
            <w:tcW w:w="1600" w:type="dxa"/>
            <w:vAlign w:val="bottom"/>
          </w:tcPr>
          <w:p>
            <w:pPr>
              <w:spacing w:after="0"/>
              <w:rPr>
                <w:sz w:val="17"/>
                <w:szCs w:val="17"/>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We are permitted under the Constitution</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and the Irish Companies Act to take out</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directors’ and officers’ liability insurance,</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w w:val="99"/>
              </w:rPr>
              <w:t>as well as other types of insurance, for our</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directors, officers, employees and agents.</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In order to attract and retain qualified</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directors  and  officers,  we  maintain</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w w:val="99"/>
              </w:rPr>
              <w:t>customary directors’ and officers’ liability</w:t>
            </w:r>
          </w:p>
        </w:tc>
      </w:tr>
      <w:tr>
        <w:trPr>
          <w:trHeight w:val="201"/>
        </w:trPr>
        <w:tc>
          <w:tcPr>
            <w:tcW w:w="160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insurance and other types of comparable</w:t>
            </w:r>
          </w:p>
        </w:tc>
      </w:tr>
      <w:tr>
        <w:trPr>
          <w:trHeight w:val="217"/>
        </w:trPr>
        <w:tc>
          <w:tcPr>
            <w:tcW w:w="1600" w:type="dxa"/>
            <w:vAlign w:val="bottom"/>
          </w:tcPr>
          <w:p>
            <w:pPr>
              <w:spacing w:after="0"/>
              <w:rPr>
                <w:sz w:val="18"/>
                <w:szCs w:val="18"/>
                <w:color w:val="auto"/>
              </w:rPr>
            </w:pPr>
          </w:p>
        </w:tc>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insurance.</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702"/>
        </w:trPr>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636"/>
              <w:spacing w:after="0"/>
              <w:rPr>
                <w:sz w:val="20"/>
                <w:szCs w:val="20"/>
                <w:color w:val="auto"/>
              </w:rPr>
            </w:pPr>
            <w:r>
              <w:rPr>
                <w:rFonts w:ascii="Times New Roman" w:cs="Times New Roman" w:eastAsia="Times New Roman" w:hAnsi="Times New Roman"/>
                <w:sz w:val="17"/>
                <w:szCs w:val="17"/>
                <w:color w:val="auto"/>
                <w:w w:val="82"/>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111760</wp:posOffset>
            </wp:positionV>
            <wp:extent cx="649732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599"/>
        <w:spacing w:after="0" w:line="249" w:lineRule="auto"/>
        <w:rPr>
          <w:sz w:val="20"/>
          <w:szCs w:val="20"/>
          <w:color w:val="auto"/>
        </w:rPr>
      </w:pPr>
      <w:r>
        <w:rPr>
          <w:rFonts w:ascii="Times New Roman" w:cs="Times New Roman" w:eastAsia="Times New Roman" w:hAnsi="Times New Roman"/>
          <w:sz w:val="17"/>
          <w:szCs w:val="17"/>
          <w:color w:val="auto"/>
        </w:rPr>
        <w:t>Delaware law permits a corporation’s certificate of incorporation to include a provision eliminating or limiting the personal liability of a director or officer (but not other controlling persons) of the corporation for monetary damages for breach of a fiduciary duty as a director or officer. However, no provision can eliminate or limit the liability of:  </w:t>
      </w:r>
    </w:p>
    <w:p>
      <w:pPr>
        <w:spacing w:after="0" w:line="197" w:lineRule="exact"/>
        <w:rPr>
          <w:sz w:val="20"/>
          <w:szCs w:val="20"/>
          <w:color w:val="auto"/>
        </w:rPr>
      </w:pPr>
    </w:p>
    <w:p>
      <w:pPr>
        <w:jc w:val="both"/>
        <w:ind w:left="360" w:right="619" w:hanging="361"/>
        <w:spacing w:after="0" w:line="246" w:lineRule="auto"/>
        <w:rPr>
          <w:sz w:val="20"/>
          <w:szCs w:val="20"/>
          <w:color w:val="auto"/>
        </w:rPr>
      </w:pPr>
      <w:r>
        <w:rPr>
          <w:rFonts w:ascii="Times New Roman" w:cs="Times New Roman" w:eastAsia="Times New Roman" w:hAnsi="Times New Roman"/>
          <w:sz w:val="17"/>
          <w:szCs w:val="17"/>
          <w:color w:val="auto"/>
        </w:rPr>
        <w:t>(1)  a director or officer for any breach of his or her duty of loyalty to the corporation or its stockholders;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w:t>
      </w:r>
    </w:p>
    <w:p>
      <w:pPr>
        <w:spacing w:after="0" w:line="5" w:lineRule="exact"/>
        <w:rPr>
          <w:sz w:val="20"/>
          <w:szCs w:val="20"/>
          <w:color w:val="auto"/>
        </w:rPr>
      </w:pPr>
    </w:p>
    <w:p>
      <w:pPr>
        <w:jc w:val="both"/>
        <w:ind w:left="360" w:right="599" w:hanging="361"/>
        <w:spacing w:after="0" w:line="246" w:lineRule="auto"/>
        <w:rPr>
          <w:sz w:val="20"/>
          <w:szCs w:val="20"/>
          <w:color w:val="auto"/>
        </w:rPr>
      </w:pPr>
      <w:r>
        <w:rPr>
          <w:rFonts w:ascii="Times New Roman" w:cs="Times New Roman" w:eastAsia="Times New Roman" w:hAnsi="Times New Roman"/>
          <w:sz w:val="17"/>
          <w:szCs w:val="17"/>
          <w:color w:val="auto"/>
        </w:rPr>
        <w:t>(2)  a director or officer for acts or omissions not in good faith or which involve intentional misconduct or a knowing violation of law;</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w:t>
      </w:r>
    </w:p>
    <w:p>
      <w:pPr>
        <w:spacing w:after="0" w:line="5" w:lineRule="exact"/>
        <w:rPr>
          <w:sz w:val="20"/>
          <w:szCs w:val="20"/>
          <w:color w:val="auto"/>
        </w:rPr>
      </w:pPr>
    </w:p>
    <w:p>
      <w:pPr>
        <w:jc w:val="both"/>
        <w:ind w:left="360" w:right="599" w:hanging="361"/>
        <w:spacing w:after="0" w:line="246" w:lineRule="auto"/>
        <w:rPr>
          <w:sz w:val="20"/>
          <w:szCs w:val="20"/>
          <w:color w:val="auto"/>
        </w:rPr>
      </w:pPr>
      <w:r>
        <w:rPr>
          <w:rFonts w:ascii="Times New Roman" w:cs="Times New Roman" w:eastAsia="Times New Roman" w:hAnsi="Times New Roman"/>
          <w:sz w:val="17"/>
          <w:szCs w:val="17"/>
          <w:color w:val="auto"/>
        </w:rPr>
        <w:t>(3)  a director for intentional or negligent payment of unlawful dividends or stock purchases or redemptions;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w:t>
      </w:r>
    </w:p>
    <w:p>
      <w:pPr>
        <w:spacing w:after="0" w:line="5" w:lineRule="exact"/>
        <w:rPr>
          <w:sz w:val="20"/>
          <w:szCs w:val="20"/>
          <w:color w:val="auto"/>
        </w:rPr>
      </w:pPr>
    </w:p>
    <w:p>
      <w:pPr>
        <w:jc w:val="both"/>
        <w:ind w:left="360" w:right="599" w:hanging="361"/>
        <w:spacing w:after="0" w:line="249" w:lineRule="auto"/>
        <w:rPr>
          <w:sz w:val="20"/>
          <w:szCs w:val="20"/>
          <w:color w:val="auto"/>
        </w:rPr>
      </w:pPr>
      <w:r>
        <w:rPr>
          <w:rFonts w:ascii="Times New Roman" w:cs="Times New Roman" w:eastAsia="Times New Roman" w:hAnsi="Times New Roman"/>
          <w:sz w:val="17"/>
          <w:szCs w:val="17"/>
          <w:color w:val="auto"/>
        </w:rPr>
        <w:t>(4)  a</w:t>
      </w:r>
      <w:r>
        <w:rPr>
          <w:sz w:val="20"/>
          <w:szCs w:val="20"/>
          <w:color w:val="auto"/>
        </w:rPr>
        <w:t xml:space="preserve"> </w:t>
      </w:r>
      <w:r>
        <w:rPr>
          <w:rFonts w:ascii="Times New Roman" w:cs="Times New Roman" w:eastAsia="Times New Roman" w:hAnsi="Times New Roman"/>
          <w:sz w:val="17"/>
          <w:szCs w:val="17"/>
          <w:color w:val="auto"/>
        </w:rPr>
        <w:t>director or officer for any transaction from which he or she derived an improper personal benefit; or</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w:t>
      </w:r>
    </w:p>
    <w:p>
      <w:pPr>
        <w:spacing w:after="0" w:line="5" w:lineRule="exact"/>
        <w:rPr>
          <w:sz w:val="20"/>
          <w:szCs w:val="20"/>
          <w:color w:val="auto"/>
        </w:rPr>
      </w:pPr>
    </w:p>
    <w:p>
      <w:pPr>
        <w:jc w:val="both"/>
        <w:ind w:left="360" w:right="599" w:hanging="361"/>
        <w:spacing w:after="0" w:line="252" w:lineRule="auto"/>
        <w:rPr>
          <w:sz w:val="20"/>
          <w:szCs w:val="20"/>
          <w:color w:val="auto"/>
        </w:rPr>
      </w:pPr>
      <w:r>
        <w:rPr>
          <w:rFonts w:ascii="Times New Roman" w:cs="Times New Roman" w:eastAsia="Times New Roman" w:hAnsi="Times New Roman"/>
          <w:sz w:val="17"/>
          <w:szCs w:val="17"/>
          <w:color w:val="auto"/>
        </w:rPr>
        <w:t>(5)  an officer in any action by or in right of the corporation.</w:t>
      </w:r>
    </w:p>
    <w:p>
      <w:pPr>
        <w:sectPr>
          <w:pgSz w:w="11900" w:h="16838" w:orient="portrait"/>
          <w:cols w:equalWidth="0" w:num="2">
            <w:col w:w="5300" w:space="200"/>
            <w:col w:w="3519"/>
          </w:cols>
          <w:pgMar w:left="1440" w:top="253" w:right="1440" w:bottom="1440" w:gutter="0" w:footer="0" w:header="0"/>
          <w:type w:val="continuous"/>
        </w:sectPr>
      </w:pPr>
    </w:p>
    <w:bookmarkStart w:id="31" w:name="page32"/>
    <w:bookmarkEnd w:id="31"/>
    <w:tbl>
      <w:tblPr>
        <w:tblLayout w:type="fixed"/>
        <w:tblInd w:w="600" w:type="dxa"/>
        <w:tblCellMar>
          <w:top w:w="0" w:type="dxa"/>
          <w:left w:w="0" w:type="dxa"/>
          <w:bottom w:w="0" w:type="dxa"/>
          <w:right w:w="0" w:type="dxa"/>
        </w:tblCellMar>
      </w:tblPr>
      <w:tr>
        <w:trPr>
          <w:trHeight w:val="150"/>
        </w:trPr>
        <w:tc>
          <w:tcPr>
            <w:tcW w:w="1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369"/>
        </w:trPr>
        <w:tc>
          <w:tcPr>
            <w:tcW w:w="14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IRELAND</w:t>
            </w:r>
          </w:p>
        </w:tc>
        <w:tc>
          <w:tcPr>
            <w:tcW w:w="1100" w:type="dxa"/>
            <w:vAlign w:val="bottom"/>
            <w:tcBorders>
              <w:bottom w:val="single" w:sz="8" w:color="auto"/>
            </w:tcBorders>
          </w:tcPr>
          <w:p>
            <w:pPr>
              <w:spacing w:after="0"/>
              <w:rPr>
                <w:sz w:val="24"/>
                <w:szCs w:val="24"/>
                <w:color w:val="auto"/>
              </w:rPr>
            </w:pPr>
          </w:p>
        </w:tc>
      </w:tr>
      <w:tr>
        <w:trPr>
          <w:trHeight w:val="189"/>
        </w:trPr>
        <w:tc>
          <w:tcPr>
            <w:tcW w:w="160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Voting Rights</w:t>
            </w:r>
          </w:p>
        </w:tc>
        <w:tc>
          <w:tcPr>
            <w:tcW w:w="200" w:type="dxa"/>
            <w:vAlign w:val="bottom"/>
          </w:tcPr>
          <w:p>
            <w:pPr>
              <w:spacing w:after="0"/>
              <w:rPr>
                <w:sz w:val="16"/>
                <w:szCs w:val="16"/>
                <w:color w:val="auto"/>
              </w:rPr>
            </w:pPr>
          </w:p>
        </w:tc>
        <w:tc>
          <w:tcPr>
            <w:tcW w:w="2920" w:type="dxa"/>
            <w:vAlign w:val="bottom"/>
            <w:gridSpan w:val="5"/>
          </w:tcPr>
          <w:p>
            <w:pPr>
              <w:spacing w:after="0" w:line="189" w:lineRule="exact"/>
              <w:rPr>
                <w:sz w:val="20"/>
                <w:szCs w:val="20"/>
                <w:color w:val="auto"/>
              </w:rPr>
            </w:pPr>
            <w:r>
              <w:rPr>
                <w:rFonts w:ascii="Times New Roman" w:cs="Times New Roman" w:eastAsia="Times New Roman" w:hAnsi="Times New Roman"/>
                <w:sz w:val="17"/>
                <w:szCs w:val="17"/>
                <w:color w:val="auto"/>
              </w:rPr>
              <w:t>Under the Constitution, each holder of our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ordinary shares is entitled to one vote for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each ordinary share that he or she holds as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w w:val="98"/>
              </w:rPr>
              <w:t>of the record date for the meeting. We may</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not exercise any voting rights in respect of</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any shares held as treasury shares. Any</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shares held by our subsidiaries will count</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as treasury shares for this purpose, and</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w w:val="99"/>
              </w:rPr>
              <w:t>such subsidiaries cannot therefore exercise</w:t>
            </w:r>
          </w:p>
        </w:tc>
      </w:tr>
      <w:tr>
        <w:trPr>
          <w:trHeight w:val="217"/>
        </w:trPr>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w w:val="98"/>
              </w:rPr>
              <w:t>any voting rights in respect of those shares.</w:t>
            </w:r>
          </w:p>
        </w:tc>
      </w:tr>
      <w:tr>
        <w:trPr>
          <w:trHeight w:val="385"/>
        </w:trPr>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Shareholder Vote on</w:t>
            </w: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w w:val="99"/>
              </w:rPr>
              <w:t>Pursuant to Irish law, shareholder approval</w:t>
            </w:r>
          </w:p>
        </w:tc>
      </w:tr>
      <w:tr>
        <w:trPr>
          <w:trHeight w:val="201"/>
        </w:trPr>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Certain Transactions</w:t>
            </w: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in connection with a transaction involving</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rPr>
              <w:t>the Company would be required under 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following circumstances:</w:t>
            </w:r>
          </w:p>
        </w:tc>
        <w:tc>
          <w:tcPr>
            <w:tcW w:w="11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82"/>
              </w:rPr>
              <w:t> </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•   in</w:t>
            </w:r>
          </w:p>
        </w:tc>
        <w:tc>
          <w:tcPr>
            <w:tcW w:w="13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connection  with</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  scheme  of</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arrangement, both a court order from</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the Irish High Court and the approval</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of a majority in number representing</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75%  in  value  of  the  shareholders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present and voting in person or by</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proxy at a meeting called to approve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such a scheme would be required;</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73"/>
              </w:rPr>
              <w:t>• </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in connection with a conversion of 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Company  by  way  of  cross-border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w w:val="98"/>
              </w:rPr>
              <w:t>conversion under the EU (Cross-Border</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98"/>
              </w:rPr>
              <w:t>Conversions,</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Mergers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and Divisions)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Regulations 2023 (referred to herein as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w:t>
            </w:r>
          </w:p>
        </w:tc>
        <w:tc>
          <w:tcPr>
            <w:tcW w:w="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Irish</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Mobility</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Regulations),</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approval by a special resolution of 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shareholders would be required;</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73"/>
              </w:rPr>
              <w:t>• </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w w:val="99"/>
              </w:rPr>
              <w:t>in connection with an acquisition of the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Company by way of a merger with an</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EU company under the Irish Mobility</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Regulations,  approval  by  a  special</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w w:val="99"/>
              </w:rPr>
              <w:t>resolution of the shareholders would be</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97"/>
              </w:rPr>
              <w:t>required; and</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73"/>
              </w:rPr>
              <w:t>• </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in connection with a merger with an</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Irish   company   under   the   Irish</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Companies Act, approval by a special</w:t>
            </w:r>
          </w:p>
        </w:tc>
      </w:tr>
      <w:tr>
        <w:trPr>
          <w:trHeight w:val="201"/>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resolution  of  shareholders  would  be</w:t>
            </w:r>
          </w:p>
        </w:tc>
      </w:tr>
      <w:tr>
        <w:trPr>
          <w:trHeight w:val="217"/>
        </w:trPr>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required.</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18472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14" w:lineRule="exact"/>
        <w:rPr>
          <w:sz w:val="20"/>
          <w:szCs w:val="20"/>
          <w:color w:val="auto"/>
        </w:rPr>
      </w:pPr>
    </w:p>
    <w:p>
      <w:pPr>
        <w:jc w:val="both"/>
        <w:ind w:right="599"/>
        <w:spacing w:after="0" w:line="249" w:lineRule="auto"/>
        <w:rPr>
          <w:sz w:val="20"/>
          <w:szCs w:val="20"/>
          <w:color w:val="auto"/>
        </w:rPr>
      </w:pPr>
      <w:r>
        <w:rPr>
          <w:rFonts w:ascii="Times New Roman" w:cs="Times New Roman" w:eastAsia="Times New Roman" w:hAnsi="Times New Roman"/>
          <w:sz w:val="17"/>
          <w:szCs w:val="17"/>
          <w:color w:val="auto"/>
        </w:rPr>
        <w:t>Each stockholder is entitled to one vote for each share of capital stock held by the stockholder, unless the certificate of incorporation provides otherwise. If issued, the voting rights of holders of preferred stock will be determined by the certificate of incorporation or the certificate of designation with respect to such preferred stock.</w:t>
      </w:r>
    </w:p>
    <w:p>
      <w:pPr>
        <w:spacing w:after="0" w:line="382" w:lineRule="exact"/>
        <w:rPr>
          <w:sz w:val="20"/>
          <w:szCs w:val="20"/>
          <w:color w:val="auto"/>
        </w:rPr>
      </w:pPr>
    </w:p>
    <w:p>
      <w:pPr>
        <w:jc w:val="both"/>
        <w:ind w:right="599"/>
        <w:spacing w:after="0" w:line="248" w:lineRule="auto"/>
        <w:rPr>
          <w:sz w:val="20"/>
          <w:szCs w:val="20"/>
          <w:color w:val="auto"/>
        </w:rPr>
      </w:pPr>
      <w:r>
        <w:rPr>
          <w:rFonts w:ascii="Times New Roman" w:cs="Times New Roman" w:eastAsia="Times New Roman" w:hAnsi="Times New Roman"/>
          <w:sz w:val="17"/>
          <w:szCs w:val="17"/>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 the approval of the board of directors; and the approval by the vote of the holders of a majority of the outstanding stock or, if the certificate of incorporation provides for more or less than one vote per share, a majority of the votes of the outstanding stock of the corporation entitled to vote on the matter.</w:t>
      </w:r>
    </w:p>
    <w:p>
      <w:pPr>
        <w:spacing w:after="0" w:line="4394" w:lineRule="exact"/>
        <w:rPr>
          <w:sz w:val="20"/>
          <w:szCs w:val="20"/>
          <w:color w:val="auto"/>
        </w:rPr>
      </w:pPr>
    </w:p>
    <w:p>
      <w:pPr>
        <w:sectPr>
          <w:pgSz w:w="11900" w:h="16838" w:orient="portrait"/>
          <w:cols w:equalWidth="0" w:num="2">
            <w:col w:w="5320" w:space="180"/>
            <w:col w:w="3519"/>
          </w:cols>
          <w:pgMar w:left="1440" w:top="253" w:right="1440" w:bottom="1440" w:gutter="0" w:footer="0" w:header="0"/>
        </w:sectPr>
      </w:pPr>
    </w:p>
    <w:p>
      <w:pPr>
        <w:ind w:left="600"/>
        <w:spacing w:after="0"/>
        <w:tabs>
          <w:tab w:leader="none" w:pos="2380" w:val="left"/>
        </w:tabs>
        <w:rPr>
          <w:sz w:val="20"/>
          <w:szCs w:val="20"/>
          <w:color w:val="auto"/>
        </w:rPr>
      </w:pPr>
      <w:r>
        <w:rPr>
          <w:rFonts w:ascii="Times New Roman" w:cs="Times New Roman" w:eastAsia="Times New Roman" w:hAnsi="Times New Roman"/>
          <w:sz w:val="17"/>
          <w:szCs w:val="17"/>
          <w:color w:val="auto"/>
        </w:rPr>
        <w:t>Standard of Conduct</w:t>
      </w:r>
      <w:r>
        <w:rPr>
          <w:sz w:val="20"/>
          <w:szCs w:val="20"/>
          <w:color w:val="auto"/>
        </w:rPr>
        <w:tab/>
      </w:r>
      <w:r>
        <w:rPr>
          <w:rFonts w:ascii="Times New Roman" w:cs="Times New Roman" w:eastAsia="Times New Roman" w:hAnsi="Times New Roman"/>
          <w:sz w:val="16"/>
          <w:szCs w:val="16"/>
          <w:color w:val="auto"/>
        </w:rPr>
        <w:t>The directors of the Company have certain</w:t>
      </w:r>
    </w:p>
    <w:p>
      <w:pPr>
        <w:spacing w:after="0" w:line="21" w:lineRule="exact"/>
        <w:rPr>
          <w:sz w:val="20"/>
          <w:szCs w:val="20"/>
          <w:color w:val="auto"/>
        </w:rPr>
      </w:pPr>
    </w:p>
    <w:p>
      <w:pPr>
        <w:ind w:left="600"/>
        <w:spacing w:after="0"/>
        <w:tabs>
          <w:tab w:leader="none" w:pos="2380" w:val="left"/>
        </w:tabs>
        <w:rPr>
          <w:sz w:val="20"/>
          <w:szCs w:val="20"/>
          <w:color w:val="auto"/>
        </w:rPr>
      </w:pPr>
      <w:r>
        <w:rPr>
          <w:rFonts w:ascii="Times New Roman" w:cs="Times New Roman" w:eastAsia="Times New Roman" w:hAnsi="Times New Roman"/>
          <w:sz w:val="17"/>
          <w:szCs w:val="17"/>
          <w:color w:val="auto"/>
        </w:rPr>
        <w:t>for Directors</w:t>
      </w:r>
      <w:r>
        <w:rPr>
          <w:sz w:val="20"/>
          <w:szCs w:val="20"/>
          <w:color w:val="auto"/>
        </w:rPr>
        <w:tab/>
      </w:r>
      <w:r>
        <w:rPr>
          <w:rFonts w:ascii="Times New Roman" w:cs="Times New Roman" w:eastAsia="Times New Roman" w:hAnsi="Times New Roman"/>
          <w:sz w:val="16"/>
          <w:szCs w:val="16"/>
          <w:color w:val="auto"/>
        </w:rPr>
        <w:t>statutory and fiduciary duties as a matter of</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Irish law. All of the directors have equal</w:t>
      </w:r>
    </w:p>
    <w:p>
      <w:pPr>
        <w:spacing w:after="0" w:line="5" w:lineRule="exact"/>
        <w:rPr>
          <w:sz w:val="20"/>
          <w:szCs w:val="20"/>
          <w:color w:val="auto"/>
        </w:rPr>
      </w:pPr>
    </w:p>
    <w:p>
      <w:pPr>
        <w:ind w:left="2400"/>
        <w:spacing w:after="0"/>
        <w:tabs>
          <w:tab w:leader="none" w:pos="2840" w:val="left"/>
          <w:tab w:leader="none" w:pos="3540" w:val="left"/>
          <w:tab w:leader="none" w:pos="4660" w:val="left"/>
          <w:tab w:leader="none" w:pos="5080" w:val="left"/>
        </w:tabs>
        <w:rPr>
          <w:sz w:val="20"/>
          <w:szCs w:val="20"/>
          <w:color w:val="auto"/>
        </w:rPr>
      </w:pPr>
      <w:r>
        <w:rPr>
          <w:rFonts w:ascii="Times New Roman" w:cs="Times New Roman" w:eastAsia="Times New Roman" w:hAnsi="Times New Roman"/>
          <w:sz w:val="17"/>
          <w:szCs w:val="17"/>
          <w:color w:val="auto"/>
        </w:rPr>
        <w:t>and</w:t>
        <w:tab/>
        <w:t>overall</w:t>
        <w:tab/>
        <w:t>responsibility</w:t>
        <w:tab/>
        <w:t>for</w:t>
      </w:r>
      <w:r>
        <w:rPr>
          <w:sz w:val="20"/>
          <w:szCs w:val="20"/>
          <w:color w:val="auto"/>
        </w:rPr>
        <w:tab/>
      </w:r>
      <w:r>
        <w:rPr>
          <w:rFonts w:ascii="Times New Roman" w:cs="Times New Roman" w:eastAsia="Times New Roman" w:hAnsi="Times New Roman"/>
          <w:sz w:val="16"/>
          <w:szCs w:val="16"/>
          <w:color w:val="auto"/>
        </w:rPr>
        <w:t>the</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management of the Company (although</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directors who also serve as employees may</w:t>
      </w:r>
    </w:p>
    <w:p>
      <w:pPr>
        <w:spacing w:after="0" w:line="1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have additional responsibilities and duties</w:t>
      </w:r>
    </w:p>
    <w:p>
      <w:pPr>
        <w:spacing w:after="0" w:line="2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599"/>
        <w:spacing w:after="0" w:line="250" w:lineRule="auto"/>
        <w:rPr>
          <w:sz w:val="20"/>
          <w:szCs w:val="20"/>
          <w:color w:val="auto"/>
        </w:rPr>
      </w:pPr>
      <w:r>
        <w:rPr>
          <w:rFonts w:ascii="Times New Roman" w:cs="Times New Roman" w:eastAsia="Times New Roman" w:hAnsi="Times New Roman"/>
          <w:sz w:val="17"/>
          <w:szCs w:val="17"/>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w:t>
      </w:r>
    </w:p>
    <w:p>
      <w:pPr>
        <w:sectPr>
          <w:pgSz w:w="11900" w:h="16838" w:orient="portrait"/>
          <w:cols w:equalWidth="0" w:num="2">
            <w:col w:w="5300" w:space="200"/>
            <w:col w:w="3519"/>
          </w:cols>
          <w:pgMar w:left="1440" w:top="253" w:right="1440" w:bottom="1440" w:gutter="0" w:footer="0" w:header="0"/>
          <w:type w:val="continuous"/>
        </w:sectPr>
      </w:pPr>
    </w:p>
    <w:bookmarkStart w:id="32" w:name="page33"/>
    <w:bookmarkEnd w:id="32"/>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14" w:lineRule="exact"/>
        <w:rPr>
          <w:sz w:val="20"/>
          <w:szCs w:val="20"/>
          <w:color w:val="auto"/>
        </w:rPr>
      </w:pPr>
    </w:p>
    <w:tbl>
      <w:tblPr>
        <w:tblLayout w:type="fixed"/>
        <w:tblInd w:w="24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IRELAND</w:t>
            </w: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840" w:type="dxa"/>
            <w:vAlign w:val="bottom"/>
            <w:tcBorders>
              <w:bottom w:val="single" w:sz="8" w:color="auto"/>
            </w:tcBorders>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900" w:type="dxa"/>
            <w:vAlign w:val="bottom"/>
            <w:gridSpan w:val="7"/>
          </w:tcPr>
          <w:p>
            <w:pPr>
              <w:spacing w:after="0" w:line="189" w:lineRule="exact"/>
              <w:rPr>
                <w:sz w:val="20"/>
                <w:szCs w:val="20"/>
                <w:color w:val="auto"/>
              </w:rPr>
            </w:pPr>
            <w:r>
              <w:rPr>
                <w:rFonts w:ascii="Times New Roman" w:cs="Times New Roman" w:eastAsia="Times New Roman" w:hAnsi="Times New Roman"/>
                <w:sz w:val="17"/>
                <w:szCs w:val="17"/>
                <w:color w:val="auto"/>
                <w:w w:val="97"/>
              </w:rPr>
              <w:t>arising under their employment agreements</w:t>
            </w:r>
          </w:p>
        </w:tc>
        <w:tc>
          <w:tcPr>
            <w:tcW w:w="200" w:type="dxa"/>
            <w:vAlign w:val="bottom"/>
          </w:tcPr>
          <w:p>
            <w:pPr>
              <w:spacing w:after="0"/>
              <w:rPr>
                <w:sz w:val="16"/>
                <w:szCs w:val="16"/>
                <w:color w:val="auto"/>
              </w:rPr>
            </w:pPr>
          </w:p>
        </w:tc>
        <w:tc>
          <w:tcPr>
            <w:tcW w:w="2900" w:type="dxa"/>
            <w:vAlign w:val="bottom"/>
            <w:gridSpan w:val="4"/>
          </w:tcPr>
          <w:p>
            <w:pPr>
              <w:spacing w:after="0" w:line="189" w:lineRule="exact"/>
              <w:rPr>
                <w:sz w:val="20"/>
                <w:szCs w:val="20"/>
                <w:color w:val="auto"/>
              </w:rPr>
            </w:pPr>
            <w:r>
              <w:rPr>
                <w:rFonts w:ascii="Times New Roman" w:cs="Times New Roman" w:eastAsia="Times New Roman" w:hAnsi="Times New Roman"/>
                <w:sz w:val="17"/>
                <w:szCs w:val="17"/>
                <w:color w:val="auto"/>
              </w:rPr>
              <w:t>informed  basis  and  in  a  manner  they</w:t>
            </w:r>
          </w:p>
        </w:tc>
      </w:tr>
      <w:tr>
        <w:trPr>
          <w:trHeight w:val="201"/>
        </w:trPr>
        <w:tc>
          <w:tcPr>
            <w:tcW w:w="29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(if applicable), and it is likely that more</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reasonably  believe  to  be  in  the  best</w:t>
            </w:r>
          </w:p>
        </w:tc>
      </w:tr>
      <w:tr>
        <w:trPr>
          <w:trHeight w:val="201"/>
        </w:trPr>
        <w:tc>
          <w:tcPr>
            <w:tcW w:w="29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will be expected of them in compliance</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w w:val="99"/>
              </w:rPr>
              <w:t>interests of the stockholders. Directors of a</w:t>
            </w:r>
          </w:p>
        </w:tc>
      </w:tr>
      <w:tr>
        <w:trPr>
          <w:trHeight w:val="201"/>
        </w:trPr>
        <w:tc>
          <w:tcPr>
            <w:tcW w:w="29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with  their  duties  than  non-executive</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w w:val="99"/>
              </w:rPr>
              <w:t>Delaware corporation owe fiduciary duties</w:t>
            </w:r>
          </w:p>
        </w:tc>
      </w:tr>
      <w:tr>
        <w:trPr>
          <w:trHeight w:val="201"/>
        </w:trPr>
        <w:tc>
          <w:tcPr>
            <w:tcW w:w="29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directors).  The  Irish  Companies  Act</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of care and loyalty to the corporation and</w:t>
            </w:r>
          </w:p>
        </w:tc>
      </w:tr>
      <w:tr>
        <w:trPr>
          <w:trHeight w:val="201"/>
        </w:trPr>
        <w:tc>
          <w:tcPr>
            <w:tcW w:w="29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provides specifically for certain fiduciary</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to  its  shareholders.  The  duty  of  care</w:t>
            </w:r>
          </w:p>
        </w:tc>
      </w:tr>
      <w:tr>
        <w:trPr>
          <w:trHeight w:val="201"/>
        </w:trPr>
        <w:tc>
          <w:tcPr>
            <w:tcW w:w="29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duties of the directors of Irish companies,</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generally requires that a director act in</w:t>
            </w:r>
          </w:p>
        </w:tc>
      </w:tr>
      <w:tr>
        <w:trPr>
          <w:trHeight w:val="201"/>
        </w:trPr>
        <w:tc>
          <w:tcPr>
            <w:tcW w:w="14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including duties:</w:t>
            </w: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good faith, with the care that an ordinarily</w:t>
            </w:r>
          </w:p>
        </w:tc>
      </w:tr>
      <w:tr>
        <w:trPr>
          <w:trHeight w:val="201"/>
        </w:trPr>
        <w:tc>
          <w:tcPr>
            <w:tcW w:w="1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82"/>
              </w:rPr>
              <w:t> </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prudent  person  would  exercise  under</w:t>
            </w:r>
          </w:p>
        </w:tc>
      </w:tr>
      <w:tr>
        <w:trPr>
          <w:trHeight w:val="201"/>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73"/>
              </w:rPr>
              <w:t>• </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to act in good faith and in the best</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similar circumstances. Under this duty, a</w:t>
            </w:r>
          </w:p>
        </w:tc>
      </w:tr>
      <w:tr>
        <w:trPr>
          <w:trHeight w:val="201"/>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auto"/>
              </w:rPr>
              <w:t>interests of the company;</w:t>
            </w:r>
          </w:p>
        </w:tc>
        <w:tc>
          <w:tcPr>
            <w:tcW w:w="220" w:type="dxa"/>
            <w:vAlign w:val="bottom"/>
          </w:tcPr>
          <w:p>
            <w:pPr>
              <w:spacing w:after="0"/>
              <w:rPr>
                <w:sz w:val="17"/>
                <w:szCs w:val="17"/>
                <w:color w:val="auto"/>
              </w:rPr>
            </w:pP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director must inform himself or herself of</w:t>
            </w:r>
          </w:p>
        </w:tc>
      </w:tr>
      <w:tr>
        <w:trPr>
          <w:trHeight w:val="201"/>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auto"/>
              </w:rPr>
              <w:t>all   material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reasonably</w:t>
            </w:r>
          </w:p>
        </w:tc>
      </w:tr>
      <w:tr>
        <w:trPr>
          <w:trHeight w:val="201"/>
        </w:trPr>
        <w:tc>
          <w:tcPr>
            <w:tcW w:w="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to  act</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honestly</w:t>
            </w:r>
          </w:p>
        </w:tc>
        <w:tc>
          <w:tcPr>
            <w:tcW w:w="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responsibly</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available</w:t>
            </w:r>
          </w:p>
        </w:tc>
        <w:tc>
          <w:tcPr>
            <w:tcW w:w="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regarding</w:t>
            </w:r>
          </w:p>
        </w:tc>
        <w:tc>
          <w:tcPr>
            <w:tcW w:w="4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significant</w:t>
            </w:r>
          </w:p>
        </w:tc>
      </w:tr>
      <w:tr>
        <w:trPr>
          <w:trHeight w:val="201"/>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auto"/>
              </w:rPr>
              <w:t>relation to the company’s affairs;</w:t>
            </w:r>
          </w:p>
        </w:tc>
        <w:tc>
          <w:tcPr>
            <w:tcW w:w="220" w:type="dxa"/>
            <w:vAlign w:val="bottom"/>
          </w:tcPr>
          <w:p>
            <w:pPr>
              <w:spacing w:after="0"/>
              <w:rPr>
                <w:sz w:val="17"/>
                <w:szCs w:val="17"/>
                <w:color w:val="auto"/>
              </w:rPr>
            </w:pP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transaction. The duty of loyalty requires</w:t>
            </w:r>
          </w:p>
        </w:tc>
      </w:tr>
      <w:tr>
        <w:trPr>
          <w:trHeight w:val="201"/>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that  a  director  act  in  a  manner  he</w:t>
            </w:r>
          </w:p>
        </w:tc>
      </w:tr>
      <w:tr>
        <w:trPr>
          <w:trHeight w:val="201"/>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73"/>
              </w:rPr>
              <w:t>• </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w w:val="97"/>
              </w:rPr>
              <w:t>to act in accordance with the company’s</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reasonably  believes  to  be  in  the  best</w:t>
            </w:r>
          </w:p>
        </w:tc>
      </w:tr>
      <w:tr>
        <w:trPr>
          <w:trHeight w:val="201"/>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constitution  and  to  exercise  powers</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interests of the corporation. He must not</w:t>
            </w:r>
          </w:p>
        </w:tc>
      </w:tr>
      <w:tr>
        <w:trPr>
          <w:trHeight w:val="201"/>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auto"/>
              </w:rPr>
              <w:t>only for lawful purposes;</w:t>
            </w:r>
          </w:p>
        </w:tc>
        <w:tc>
          <w:tcPr>
            <w:tcW w:w="220" w:type="dxa"/>
            <w:vAlign w:val="bottom"/>
          </w:tcPr>
          <w:p>
            <w:pPr>
              <w:spacing w:after="0"/>
              <w:rPr>
                <w:sz w:val="17"/>
                <w:szCs w:val="17"/>
                <w:color w:val="auto"/>
              </w:rPr>
            </w:pP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w w:val="98"/>
              </w:rPr>
              <w:t>use his corporate position for personal gain</w:t>
            </w:r>
          </w:p>
        </w:tc>
      </w:tr>
      <w:tr>
        <w:trPr>
          <w:trHeight w:val="201"/>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or advantage. In general, but subject to</w:t>
            </w:r>
          </w:p>
        </w:tc>
      </w:tr>
      <w:tr>
        <w:trPr>
          <w:trHeight w:val="201"/>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73"/>
              </w:rPr>
              <w:t>• </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not to misuse the company’s property,</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w w:val="99"/>
              </w:rPr>
              <w:t>certain exceptions, actions of a director are</w:t>
            </w:r>
          </w:p>
        </w:tc>
      </w:tr>
      <w:tr>
        <w:trPr>
          <w:trHeight w:val="201"/>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auto"/>
              </w:rPr>
              <w:t>information and/or opportunity;</w:t>
            </w:r>
          </w:p>
        </w:tc>
        <w:tc>
          <w:tcPr>
            <w:tcW w:w="220" w:type="dxa"/>
            <w:vAlign w:val="bottom"/>
          </w:tcPr>
          <w:p>
            <w:pPr>
              <w:spacing w:after="0"/>
              <w:rPr>
                <w:sz w:val="17"/>
                <w:szCs w:val="17"/>
                <w:color w:val="auto"/>
              </w:rPr>
            </w:pP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presumed  to  have  been  made  on  an</w:t>
            </w:r>
          </w:p>
        </w:tc>
      </w:tr>
      <w:tr>
        <w:trPr>
          <w:trHeight w:val="201"/>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informed basis, in good faith and in the</w:t>
            </w:r>
          </w:p>
        </w:tc>
      </w:tr>
      <w:tr>
        <w:trPr>
          <w:trHeight w:val="201"/>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73"/>
              </w:rPr>
              <w:t>• </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not   to   fetter   their   independent</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honest belief that the action taken was in</w:t>
            </w:r>
          </w:p>
        </w:tc>
      </w:tr>
      <w:tr>
        <w:trPr>
          <w:trHeight w:val="201"/>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judgment;</w:t>
            </w: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the  best  interests  of  the  corporation.</w:t>
            </w:r>
          </w:p>
        </w:tc>
      </w:tr>
      <w:tr>
        <w:trPr>
          <w:trHeight w:val="201"/>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However,  this  presumption  may  be</w:t>
            </w:r>
          </w:p>
        </w:tc>
      </w:tr>
      <w:tr>
        <w:trPr>
          <w:trHeight w:val="201"/>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73"/>
              </w:rPr>
              <w:t>• </w:t>
            </w:r>
          </w:p>
        </w:tc>
        <w:tc>
          <w:tcPr>
            <w:tcW w:w="25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auto"/>
              </w:rPr>
              <w:t>to avoid conflicts of interest;</w:t>
            </w:r>
          </w:p>
        </w:tc>
        <w:tc>
          <w:tcPr>
            <w:tcW w:w="220" w:type="dxa"/>
            <w:vAlign w:val="bottom"/>
          </w:tcPr>
          <w:p>
            <w:pPr>
              <w:spacing w:after="0"/>
              <w:rPr>
                <w:sz w:val="17"/>
                <w:szCs w:val="17"/>
                <w:color w:val="auto"/>
              </w:rPr>
            </w:pP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rebutted by evidence of a breach of one of</w:t>
            </w:r>
          </w:p>
        </w:tc>
      </w:tr>
      <w:tr>
        <w:trPr>
          <w:trHeight w:val="201"/>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the fiduciary duties. Delaware courts have</w:t>
            </w:r>
          </w:p>
        </w:tc>
      </w:tr>
      <w:tr>
        <w:trPr>
          <w:trHeight w:val="201"/>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73"/>
              </w:rPr>
              <w:t>• </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w w:val="98"/>
              </w:rPr>
              <w:t>to exercise care, skill and diligence; and</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also  imposed  a  heightened  standard  of</w:t>
            </w:r>
          </w:p>
        </w:tc>
      </w:tr>
      <w:tr>
        <w:trPr>
          <w:trHeight w:val="201"/>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conduct  upon  directors  of  a  Delaware</w:t>
            </w:r>
          </w:p>
        </w:tc>
      </w:tr>
      <w:tr>
        <w:trPr>
          <w:trHeight w:val="201"/>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73"/>
              </w:rPr>
              <w:t>• </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to have regard for the interests of the</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corporation who take any action designed</w:t>
            </w:r>
          </w:p>
        </w:tc>
      </w:tr>
      <w:tr>
        <w:trPr>
          <w:trHeight w:val="201"/>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w w:val="97"/>
              </w:rPr>
              <w:t>company’s shareholders.</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to defeat a threatened change in control of</w:t>
            </w:r>
          </w:p>
        </w:tc>
      </w:tr>
      <w:tr>
        <w:trPr>
          <w:trHeight w:val="201"/>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the corporation.</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29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Other statutory duties of directors include</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29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ensuring the maintenance of proper books</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In addition, under Delaware law, when the</w:t>
            </w:r>
          </w:p>
        </w:tc>
      </w:tr>
      <w:tr>
        <w:trPr>
          <w:trHeight w:val="201"/>
        </w:trPr>
        <w:tc>
          <w:tcPr>
            <w:tcW w:w="29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of  account,  having  annual  accounts</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board  of  directors  of  a  Delaware</w:t>
            </w:r>
          </w:p>
        </w:tc>
      </w:tr>
      <w:tr>
        <w:trPr>
          <w:trHeight w:val="201"/>
        </w:trPr>
        <w:tc>
          <w:tcPr>
            <w:tcW w:w="29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prepared,   having   an   annual   audit</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w w:val="98"/>
              </w:rPr>
              <w:t>corporation approves the sale or breakup of</w:t>
            </w:r>
          </w:p>
        </w:tc>
      </w:tr>
      <w:tr>
        <w:trPr>
          <w:trHeight w:val="201"/>
        </w:trPr>
        <w:tc>
          <w:tcPr>
            <w:tcW w:w="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performed,</w:t>
            </w:r>
          </w:p>
        </w:tc>
        <w:tc>
          <w:tcPr>
            <w:tcW w:w="60" w:type="dxa"/>
            <w:vAlign w:val="bottom"/>
          </w:tcPr>
          <w:p>
            <w:pPr>
              <w:spacing w:after="0"/>
              <w:rPr>
                <w:sz w:val="17"/>
                <w:szCs w:val="17"/>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maintaining certain registers,</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a corporation, the board of directors may,</w:t>
            </w:r>
          </w:p>
        </w:tc>
      </w:tr>
      <w:tr>
        <w:trPr>
          <w:trHeight w:val="201"/>
        </w:trPr>
        <w:tc>
          <w:tcPr>
            <w:tcW w:w="29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making  certain  filings  and  disclosing</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in certain circumstances, have a duty to</w:t>
            </w:r>
          </w:p>
        </w:tc>
      </w:tr>
      <w:tr>
        <w:trPr>
          <w:trHeight w:val="201"/>
        </w:trPr>
        <w:tc>
          <w:tcPr>
            <w:tcW w:w="29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personal  interests.  Directors  of  public</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obtain  the  highest  value  reasonably</w:t>
            </w:r>
          </w:p>
        </w:tc>
      </w:tr>
      <w:tr>
        <w:trPr>
          <w:trHeight w:val="201"/>
        </w:trPr>
        <w:tc>
          <w:tcPr>
            <w:tcW w:w="29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limited companies such as the Company</w:t>
            </w:r>
          </w:p>
        </w:tc>
        <w:tc>
          <w:tcPr>
            <w:tcW w:w="226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auto"/>
              </w:rPr>
              <w:t>available to the stockholders.</w:t>
            </w:r>
          </w:p>
        </w:tc>
        <w:tc>
          <w:tcPr>
            <w:tcW w:w="840" w:type="dxa"/>
            <w:vAlign w:val="bottom"/>
          </w:tcPr>
          <w:p>
            <w:pPr>
              <w:spacing w:after="0"/>
              <w:rPr>
                <w:sz w:val="17"/>
                <w:szCs w:val="17"/>
                <w:color w:val="auto"/>
              </w:rPr>
            </w:pPr>
          </w:p>
        </w:tc>
      </w:tr>
      <w:tr>
        <w:trPr>
          <w:trHeight w:val="201"/>
        </w:trPr>
        <w:tc>
          <w:tcPr>
            <w:tcW w:w="29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will have a specific duty to ensure that the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29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company secretary is a person with the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29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requisite  knowledge  and  experience  to</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29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discharge the role. Directors may rely on</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auto"/>
                <w:w w:val="96"/>
              </w:rPr>
              <w:t>information,</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opinions,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reports</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or</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7"/>
        </w:trPr>
        <w:tc>
          <w:tcPr>
            <w:tcW w:w="78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99"/>
              </w:rPr>
              <w:t>statements,</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99"/>
              </w:rPr>
              <w:t>including</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financial statements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ind w:left="2400"/>
        <w:spacing w:after="0"/>
        <w:tabs>
          <w:tab w:leader="none" w:pos="2760" w:val="left"/>
          <w:tab w:leader="none" w:pos="3240" w:val="left"/>
          <w:tab w:leader="none" w:pos="3960" w:val="left"/>
          <w:tab w:leader="none" w:pos="4420" w:val="left"/>
          <w:tab w:leader="none" w:pos="5140" w:val="left"/>
        </w:tabs>
        <w:rPr>
          <w:sz w:val="20"/>
          <w:szCs w:val="20"/>
          <w:color w:val="auto"/>
        </w:rPr>
      </w:pPr>
      <w:r>
        <w:rPr>
          <w:rFonts w:ascii="Times New Roman" w:cs="Times New Roman" w:eastAsia="Times New Roman" w:hAnsi="Times New Roman"/>
          <w:sz w:val="17"/>
          <w:szCs w:val="17"/>
          <w:color w:val="auto"/>
        </w:rPr>
        <w:t>and</w:t>
        <w:tab/>
        <w:t>other</w:t>
        <w:tab/>
        <w:t>financial</w:t>
        <w:tab/>
        <w:t>data,</w:t>
        <w:tab/>
        <w:t>prepared</w:t>
      </w:r>
      <w:r>
        <w:rPr>
          <w:sz w:val="20"/>
          <w:szCs w:val="20"/>
          <w:color w:val="auto"/>
        </w:rPr>
        <w:tab/>
      </w:r>
      <w:r>
        <w:rPr>
          <w:rFonts w:ascii="Times New Roman" w:cs="Times New Roman" w:eastAsia="Times New Roman" w:hAnsi="Times New Roman"/>
          <w:sz w:val="16"/>
          <w:szCs w:val="16"/>
          <w:color w:val="auto"/>
        </w:rPr>
        <w:t>or</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presented by (1) other directors, officers or</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employees  of  the  company  whom  the</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director reasonably believes to be reliable</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and competent in the matters prepared or</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presented, (2) legal counsel, public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3" w:name="page34"/>
    <w:bookmarkEnd w:id="33"/>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14" w:lineRule="exact"/>
        <w:rPr>
          <w:sz w:val="20"/>
          <w:szCs w:val="20"/>
          <w:color w:val="auto"/>
        </w:rPr>
      </w:pPr>
    </w:p>
    <w:p>
      <w:pPr>
        <w:jc w:val="center"/>
        <w:ind w:left="2400"/>
        <w:spacing w:after="0"/>
        <w:rPr>
          <w:sz w:val="20"/>
          <w:szCs w:val="20"/>
          <w:color w:val="auto"/>
        </w:rPr>
      </w:pPr>
      <w:r>
        <w:rPr>
          <w:rFonts w:ascii="Times New Roman" w:cs="Times New Roman" w:eastAsia="Times New Roman" w:hAnsi="Times New Roman"/>
          <w:sz w:val="13"/>
          <w:szCs w:val="13"/>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15875</wp:posOffset>
            </wp:positionV>
            <wp:extent cx="18472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14" w:lineRule="exact"/>
        <w:rPr>
          <w:sz w:val="20"/>
          <w:szCs w:val="20"/>
          <w:color w:val="auto"/>
        </w:rPr>
      </w:pPr>
    </w:p>
    <w:p>
      <w:pPr>
        <w:jc w:val="both"/>
        <w:ind w:left="2400"/>
        <w:spacing w:after="0" w:line="250" w:lineRule="auto"/>
        <w:rPr>
          <w:sz w:val="20"/>
          <w:szCs w:val="20"/>
          <w:color w:val="auto"/>
        </w:rPr>
      </w:pPr>
      <w:r>
        <w:rPr>
          <w:rFonts w:ascii="Times New Roman" w:cs="Times New Roman" w:eastAsia="Times New Roman" w:hAnsi="Times New Roman"/>
          <w:sz w:val="17"/>
          <w:szCs w:val="17"/>
          <w:color w:val="auto"/>
        </w:rPr>
        <w:t>accountants or other persons as to matters the director reasonably believes to be within their professional or expert competence or (3) a committee of the board of which the director does not serve as to matters within its designated authority, which committee the director reasonably believed to merit confidence.</w:t>
      </w:r>
    </w:p>
    <w:p>
      <w:pPr>
        <w:spacing w:after="0" w:line="177" w:lineRule="exact"/>
        <w:rPr>
          <w:sz w:val="20"/>
          <w:szCs w:val="20"/>
          <w:color w:val="auto"/>
        </w:rPr>
      </w:pPr>
    </w:p>
    <w:tbl>
      <w:tblPr>
        <w:tblLayout w:type="fixed"/>
        <w:tblInd w:w="600" w:type="dxa"/>
        <w:tblCellMar>
          <w:top w:w="0" w:type="dxa"/>
          <w:left w:w="0" w:type="dxa"/>
          <w:bottom w:w="0" w:type="dxa"/>
          <w:right w:w="0" w:type="dxa"/>
        </w:tblCellMar>
      </w:tblPr>
      <w:tr>
        <w:trPr>
          <w:trHeight w:val="201"/>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Shareholder Suits</w:t>
            </w: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w:t>
            </w:r>
          </w:p>
        </w:tc>
        <w:tc>
          <w:tcPr>
            <w:tcW w:w="26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Ireland,  the  decision  to  institute</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proceedings  is  generally  taken  by  a</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company’s board of directors, who will</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usually  be  empowered  to  manage  the</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company’s  business.  In  certain  limited</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circumstances,  a  shareholder  may  be</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entitled to bring a derivative action on</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behalf of the company.</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The central question at issue in deciding</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whether a minority shareholder may be</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permitted to bring a derivative action is</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whether, unless the action is brought, a</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wrong  committed  against  the  company</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would otherwise go unredressed.</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99"/>
              </w:rPr>
              <w:t>The principal case law in Ireland indicates</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that to bring a derivative action a person</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must first establish a prima facie case (i)</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that the company is entitled to the relief</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99"/>
              </w:rPr>
              <w:t>claimed and (ii) that the action falls within</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one of the five exceptions derived from</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case law, as follows:</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 xml:space="preserve">(1) </w:t>
            </w:r>
          </w:p>
        </w:tc>
        <w:tc>
          <w:tcPr>
            <w:tcW w:w="2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where an ultra vires or illegal act is</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perpetrated;</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 xml:space="preserve">(2) </w:t>
            </w:r>
          </w:p>
        </w:tc>
        <w:tc>
          <w:tcPr>
            <w:tcW w:w="2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where more than a bare majority is</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required  to  ratify  the  “wrong”</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complained of;</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(3)   where  the  shareholders’  personal</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rights are infringed;</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 xml:space="preserve">(4) </w:t>
            </w:r>
          </w:p>
        </w:tc>
        <w:tc>
          <w:tcPr>
            <w:tcW w:w="2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where a fraud has been perpetrated</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upon a minority by those in control;</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or</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(5)   where the justice of the case requires</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9"/>
              </w:rPr>
              <w:t>a minority to be permitted to institute</w:t>
            </w: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2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proceedings.</w:t>
            </w: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Shareholders may also bring proceedings</w:t>
            </w: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against the company where the affairs of</w:t>
            </w: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the company are being conducted, or the</w:t>
            </w:r>
          </w:p>
        </w:tc>
        <w:tc>
          <w:tcPr>
            <w:tcW w:w="0" w:type="dxa"/>
            <w:vAlign w:val="bottom"/>
          </w:tcPr>
          <w:p>
            <w:pPr>
              <w:spacing w:after="0"/>
              <w:rPr>
                <w:sz w:val="1"/>
                <w:szCs w:val="1"/>
                <w:color w:val="auto"/>
              </w:rPr>
            </w:pPr>
          </w:p>
        </w:tc>
      </w:tr>
      <w:tr>
        <w:trPr>
          <w:trHeight w:val="451"/>
        </w:trPr>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4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111760</wp:posOffset>
            </wp:positionV>
            <wp:extent cx="649732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18472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599"/>
        <w:spacing w:after="0" w:line="247" w:lineRule="auto"/>
        <w:rPr>
          <w:sz w:val="20"/>
          <w:szCs w:val="20"/>
          <w:color w:val="auto"/>
        </w:rPr>
      </w:pPr>
      <w:r>
        <w:rPr>
          <w:rFonts w:ascii="Times New Roman" w:cs="Times New Roman" w:eastAsia="Times New Roman" w:hAnsi="Times New Roman"/>
          <w:sz w:val="17"/>
          <w:szCs w:val="17"/>
          <w:color w:val="auto"/>
        </w:rPr>
        <w:t>Under Delaware law, a stockholder may bring a derivative action on behalf of the corporation to enforce the rights of the corporation. An individual also may commence a class action suit on behalf of himself or herself and other similarly situated stockholders where the requirements for maintaining a class action under the Delaware General Corporation Law have been met. A person may institute and maintain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 The Delaware General Corporation Law also requires that the derivative plaintiff make a demand on the directors of the corporation to assert the corporate claim before the suit may be prosecuted by the derivative plaintiff, unless such demand would be futile.</w:t>
      </w:r>
    </w:p>
    <w:p>
      <w:pPr>
        <w:sectPr>
          <w:pgSz w:w="11900" w:h="16838" w:orient="portrait"/>
          <w:cols w:equalWidth="0" w:num="2">
            <w:col w:w="5300" w:space="200"/>
            <w:col w:w="3519"/>
          </w:cols>
          <w:pgMar w:left="1440" w:top="253" w:right="1440" w:bottom="1440" w:gutter="0" w:footer="0" w:header="0"/>
        </w:sectPr>
      </w:pPr>
    </w:p>
    <w:bookmarkStart w:id="34" w:name="page35"/>
    <w:bookmarkEnd w:id="3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14" w:lineRule="exact"/>
        <w:rPr>
          <w:sz w:val="20"/>
          <w:szCs w:val="20"/>
          <w:color w:val="auto"/>
        </w:rPr>
      </w:pPr>
    </w:p>
    <w:p>
      <w:pPr>
        <w:jc w:val="both"/>
        <w:ind w:left="3540"/>
        <w:spacing w:after="0"/>
        <w:tabs>
          <w:tab w:leader="none" w:pos="6560" w:val="left"/>
        </w:tabs>
        <w:rPr>
          <w:sz w:val="20"/>
          <w:szCs w:val="20"/>
          <w:color w:val="auto"/>
        </w:rPr>
      </w:pPr>
      <w:r>
        <w:rPr>
          <w:rFonts w:ascii="Times New Roman" w:cs="Times New Roman" w:eastAsia="Times New Roman" w:hAnsi="Times New Roman"/>
          <w:sz w:val="13"/>
          <w:szCs w:val="13"/>
          <w:b w:val="1"/>
          <w:bCs w:val="1"/>
          <w:color w:val="auto"/>
        </w:rPr>
        <w:t>IRELAND</w:t>
      </w:r>
      <w:r>
        <w:rPr>
          <w:sz w:val="20"/>
          <w:szCs w:val="20"/>
          <w:color w:val="auto"/>
        </w:rPr>
        <w:tab/>
      </w:r>
      <w:r>
        <w:rPr>
          <w:rFonts w:ascii="Times New Roman" w:cs="Times New Roman" w:eastAsia="Times New Roman" w:hAnsi="Times New Roman"/>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15875</wp:posOffset>
            </wp:positionV>
            <wp:extent cx="38220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22065" cy="8255"/>
                    </a:xfrm>
                    <a:prstGeom prst="rect">
                      <a:avLst/>
                    </a:prstGeom>
                    <a:noFill/>
                  </pic:spPr>
                </pic:pic>
              </a:graphicData>
            </a:graphic>
          </wp:anchor>
        </w:drawing>
      </w:r>
    </w:p>
    <w:p>
      <w:pPr>
        <w:spacing w:after="0" w:line="14" w:lineRule="exact"/>
        <w:rPr>
          <w:sz w:val="20"/>
          <w:szCs w:val="20"/>
          <w:color w:val="auto"/>
        </w:rPr>
      </w:pPr>
    </w:p>
    <w:p>
      <w:pPr>
        <w:ind w:left="2400"/>
        <w:spacing w:after="0"/>
        <w:tabs>
          <w:tab w:leader="none" w:pos="3040" w:val="left"/>
          <w:tab w:leader="none" w:pos="3360" w:val="left"/>
          <w:tab w:leader="none" w:pos="3760" w:val="left"/>
          <w:tab w:leader="none" w:pos="4520" w:val="left"/>
          <w:tab w:leader="none" w:pos="4900" w:val="left"/>
        </w:tabs>
        <w:rPr>
          <w:sz w:val="20"/>
          <w:szCs w:val="20"/>
          <w:color w:val="auto"/>
        </w:rPr>
      </w:pPr>
      <w:r>
        <w:rPr>
          <w:rFonts w:ascii="Times New Roman" w:cs="Times New Roman" w:eastAsia="Times New Roman" w:hAnsi="Times New Roman"/>
          <w:sz w:val="17"/>
          <w:szCs w:val="17"/>
          <w:color w:val="auto"/>
        </w:rPr>
        <w:t>powers</w:t>
        <w:tab/>
        <w:t>of</w:t>
        <w:tab/>
        <w:t>the</w:t>
        <w:tab/>
        <w:t>directors</w:t>
        <w:tab/>
        <w:t>are</w:t>
        <w:tab/>
        <w:t>being</w:t>
      </w:r>
    </w:p>
    <w:p>
      <w:pPr>
        <w:spacing w:after="0" w:line="2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exercised, in a manner oppressive to the</w:t>
      </w:r>
    </w:p>
    <w:p>
      <w:pPr>
        <w:spacing w:after="0" w:line="5" w:lineRule="exact"/>
        <w:rPr>
          <w:sz w:val="20"/>
          <w:szCs w:val="20"/>
          <w:color w:val="auto"/>
        </w:rPr>
      </w:pPr>
    </w:p>
    <w:p>
      <w:pPr>
        <w:ind w:left="2400"/>
        <w:spacing w:after="0"/>
        <w:tabs>
          <w:tab w:leader="none" w:pos="3360" w:val="left"/>
          <w:tab w:leader="none" w:pos="3660" w:val="left"/>
          <w:tab w:leader="none" w:pos="3920" w:val="left"/>
          <w:tab w:leader="none" w:pos="4700" w:val="left"/>
          <w:tab w:leader="none" w:pos="4980" w:val="left"/>
        </w:tabs>
        <w:rPr>
          <w:sz w:val="20"/>
          <w:szCs w:val="20"/>
          <w:color w:val="auto"/>
        </w:rPr>
      </w:pPr>
      <w:r>
        <w:rPr>
          <w:rFonts w:ascii="Times New Roman" w:cs="Times New Roman" w:eastAsia="Times New Roman" w:hAnsi="Times New Roman"/>
          <w:sz w:val="17"/>
          <w:szCs w:val="17"/>
          <w:color w:val="auto"/>
        </w:rPr>
        <w:t>shareholders</w:t>
        <w:tab/>
        <w:t>or</w:t>
        <w:tab/>
        <w:t>in</w:t>
        <w:tab/>
        <w:t>disregard</w:t>
        <w:tab/>
        <w:t>of</w:t>
      </w:r>
      <w:r>
        <w:rPr>
          <w:sz w:val="20"/>
          <w:szCs w:val="20"/>
          <w:color w:val="auto"/>
        </w:rPr>
        <w:tab/>
      </w:r>
      <w:r>
        <w:rPr>
          <w:rFonts w:ascii="Times New Roman" w:cs="Times New Roman" w:eastAsia="Times New Roman" w:hAnsi="Times New Roman"/>
          <w:sz w:val="16"/>
          <w:szCs w:val="16"/>
          <w:color w:val="auto"/>
        </w:rPr>
        <w:t>their</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interests. Oppression connotes conduct that</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is burdensome, harsh or wrong.</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 </w:t>
      </w:r>
    </w:p>
    <w:p>
      <w:pPr>
        <w:spacing w:after="0" w:line="5" w:lineRule="exact"/>
        <w:rPr>
          <w:sz w:val="20"/>
          <w:szCs w:val="20"/>
          <w:color w:val="auto"/>
        </w:rPr>
      </w:pPr>
    </w:p>
    <w:p>
      <w:pPr>
        <w:ind w:left="2400"/>
        <w:spacing w:after="0"/>
        <w:tabs>
          <w:tab w:leader="none" w:pos="3100" w:val="left"/>
          <w:tab w:leader="none" w:pos="3580" w:val="left"/>
          <w:tab w:leader="none" w:pos="4120" w:val="left"/>
          <w:tab w:leader="none" w:pos="4400" w:val="left"/>
          <w:tab w:leader="none" w:pos="4780" w:val="left"/>
        </w:tabs>
        <w:rPr>
          <w:sz w:val="20"/>
          <w:szCs w:val="20"/>
          <w:color w:val="auto"/>
        </w:rPr>
      </w:pPr>
      <w:r>
        <w:rPr>
          <w:rFonts w:ascii="Times New Roman" w:cs="Times New Roman" w:eastAsia="Times New Roman" w:hAnsi="Times New Roman"/>
          <w:sz w:val="17"/>
          <w:szCs w:val="17"/>
          <w:color w:val="auto"/>
        </w:rPr>
        <w:t>Conduct</w:t>
        <w:tab/>
        <w:t>must</w:t>
        <w:tab/>
        <w:t>relate</w:t>
        <w:tab/>
        <w:t>to</w:t>
        <w:tab/>
        <w:t>the</w:t>
      </w:r>
      <w:r>
        <w:rPr>
          <w:sz w:val="20"/>
          <w:szCs w:val="20"/>
          <w:color w:val="auto"/>
        </w:rPr>
        <w:tab/>
      </w:r>
      <w:r>
        <w:rPr>
          <w:rFonts w:ascii="Times New Roman" w:cs="Times New Roman" w:eastAsia="Times New Roman" w:hAnsi="Times New Roman"/>
          <w:sz w:val="16"/>
          <w:szCs w:val="16"/>
          <w:color w:val="auto"/>
        </w:rPr>
        <w:t>internal</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management of the company. This is an</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Irish statutory remedy and the court can</w:t>
      </w:r>
    </w:p>
    <w:p>
      <w:pPr>
        <w:spacing w:after="0" w:line="5" w:lineRule="exact"/>
        <w:rPr>
          <w:sz w:val="20"/>
          <w:szCs w:val="20"/>
          <w:color w:val="auto"/>
        </w:rPr>
      </w:pPr>
    </w:p>
    <w:p>
      <w:pPr>
        <w:ind w:left="2400"/>
        <w:spacing w:after="0"/>
        <w:tabs>
          <w:tab w:leader="none" w:pos="2880" w:val="left"/>
          <w:tab w:leader="none" w:pos="3260" w:val="left"/>
          <w:tab w:leader="none" w:pos="3780" w:val="left"/>
          <w:tab w:leader="none" w:pos="4020" w:val="left"/>
          <w:tab w:leader="none" w:pos="4440" w:val="left"/>
          <w:tab w:leader="none" w:pos="4800" w:val="left"/>
        </w:tabs>
        <w:rPr>
          <w:sz w:val="20"/>
          <w:szCs w:val="20"/>
          <w:color w:val="auto"/>
        </w:rPr>
      </w:pPr>
      <w:r>
        <w:rPr>
          <w:rFonts w:ascii="Times New Roman" w:cs="Times New Roman" w:eastAsia="Times New Roman" w:hAnsi="Times New Roman"/>
          <w:sz w:val="17"/>
          <w:szCs w:val="17"/>
          <w:color w:val="auto"/>
        </w:rPr>
        <w:t>grant</w:t>
        <w:tab/>
        <w:t>any</w:t>
        <w:tab/>
        <w:t>order</w:t>
        <w:tab/>
        <w:t>it</w:t>
        <w:tab/>
        <w:t>sees</w:t>
        <w:tab/>
        <w:t>fit,</w:t>
      </w:r>
      <w:r>
        <w:rPr>
          <w:sz w:val="20"/>
          <w:szCs w:val="20"/>
          <w:color w:val="auto"/>
        </w:rPr>
        <w:tab/>
      </w:r>
      <w:r>
        <w:rPr>
          <w:rFonts w:ascii="Times New Roman" w:cs="Times New Roman" w:eastAsia="Times New Roman" w:hAnsi="Times New Roman"/>
          <w:sz w:val="16"/>
          <w:szCs w:val="16"/>
          <w:color w:val="auto"/>
        </w:rPr>
        <w:t>usually</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providing for the purchase or transfer of</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the shares of any shareholder.</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5" w:name="page36"/>
    <w:bookmarkEnd w:id="3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DEBT SECURITIES</w:t>
      </w:r>
    </w:p>
    <w:p>
      <w:pPr>
        <w:spacing w:after="0" w:line="109" w:lineRule="exact"/>
        <w:rPr>
          <w:sz w:val="20"/>
          <w:szCs w:val="20"/>
          <w:color w:val="auto"/>
        </w:rPr>
      </w:pPr>
    </w:p>
    <w:p>
      <w:pPr>
        <w:jc w:val="both"/>
        <w:ind w:left="600" w:right="599" w:firstLine="334"/>
        <w:spacing w:after="0" w:line="272" w:lineRule="auto"/>
        <w:rPr>
          <w:sz w:val="20"/>
          <w:szCs w:val="20"/>
          <w:color w:val="auto"/>
        </w:rPr>
      </w:pPr>
      <w:r>
        <w:rPr>
          <w:rFonts w:ascii="Times New Roman" w:cs="Times New Roman" w:eastAsia="Times New Roman" w:hAnsi="Times New Roman"/>
          <w:sz w:val="16"/>
          <w:szCs w:val="16"/>
          <w:color w:val="auto"/>
        </w:rPr>
        <w:t>We may issue debt securities, which may be secured or unsecured and may be exchangeable for and/or convertible into other securities, including our ordinary shares. The debt securities will be issued under one or more separate indentures between us and a designated trustee. The terms of each series of debt securities being offered, including the terms, if any, on which a series of debt securities may be convertible into or exchangeable for other securities, and the material terms of the indenture will be set forth in the applicable prospectus supplement.</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WARRANTS</w:t>
      </w:r>
    </w:p>
    <w:p>
      <w:pPr>
        <w:spacing w:after="0" w:line="109" w:lineRule="exact"/>
        <w:rPr>
          <w:sz w:val="20"/>
          <w:szCs w:val="20"/>
          <w:color w:val="auto"/>
        </w:rPr>
      </w:pPr>
    </w:p>
    <w:p>
      <w:pPr>
        <w:jc w:val="both"/>
        <w:ind w:left="600" w:right="599" w:firstLine="334"/>
        <w:spacing w:after="0" w:line="252" w:lineRule="auto"/>
        <w:rPr>
          <w:sz w:val="20"/>
          <w:szCs w:val="20"/>
          <w:color w:val="auto"/>
        </w:rPr>
      </w:pPr>
      <w:r>
        <w:rPr>
          <w:rFonts w:ascii="Times New Roman" w:cs="Times New Roman" w:eastAsia="Times New Roman" w:hAnsi="Times New Roman"/>
          <w:sz w:val="17"/>
          <w:szCs w:val="17"/>
          <w:color w:val="auto"/>
        </w:rPr>
        <w:t>We may issue warrants to purchase our debt or equity securities. The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being offered and a description of the material provisions of the applicable warrant agreement will be set forth in the applicable prospectus supplement.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UNITS</w:t>
      </w:r>
    </w:p>
    <w:p>
      <w:pPr>
        <w:spacing w:after="0" w:line="109" w:lineRule="exact"/>
        <w:rPr>
          <w:sz w:val="20"/>
          <w:szCs w:val="20"/>
          <w:color w:val="auto"/>
        </w:rPr>
      </w:pPr>
    </w:p>
    <w:p>
      <w:pPr>
        <w:jc w:val="both"/>
        <w:ind w:left="600" w:right="599" w:firstLine="334"/>
        <w:spacing w:after="0" w:line="255" w:lineRule="auto"/>
        <w:rPr>
          <w:sz w:val="20"/>
          <w:szCs w:val="20"/>
          <w:color w:val="auto"/>
        </w:rPr>
      </w:pPr>
      <w:r>
        <w:rPr>
          <w:rFonts w:ascii="Times New Roman" w:cs="Times New Roman" w:eastAsia="Times New Roman" w:hAnsi="Times New Roman"/>
          <w:sz w:val="17"/>
          <w:szCs w:val="17"/>
          <w:color w:val="auto"/>
        </w:rPr>
        <w:t>As specified in the applicable prospectus supplement, we may issue units consisting of one or more ordinary shares, debt securities, warrants, subscription rights or any combination of such securities. The terms of the units and the securities comprising such units and the material terms of the unit agreement will be set forth in the applicable prospectus supplement.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SUBSCRIPTION RIGHTS</w:t>
      </w:r>
    </w:p>
    <w:p>
      <w:pPr>
        <w:spacing w:after="0" w:line="109"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We may issue subscription rights to purchase our debt or equity securities. The subscription rights may be issued independently or together with any other securities, may be attached to, or separate from, such securities and may or may not be transferable by the shareholder receiving the subscription rights. In connection with any offering of subscription rights, we may enter into a standby arrangement with one or more underwriters or other purchasers pursuant to which the underwriters or other purchasers may be required to purchase any unsubscribed securities after such offering. The terms of any subscription rights being offered will be set forth in the applicable prospectus supplement.</w:t>
      </w:r>
    </w:p>
    <w:p>
      <w:pPr>
        <w:spacing w:after="0" w:line="79" w:lineRule="exact"/>
        <w:rPr>
          <w:sz w:val="20"/>
          <w:szCs w:val="20"/>
          <w:color w:val="auto"/>
        </w:rPr>
      </w:pPr>
    </w:p>
    <w:p>
      <w:pPr>
        <w:jc w:val="both"/>
        <w:ind w:left="600" w:right="599" w:firstLine="334"/>
        <w:spacing w:after="0" w:line="255" w:lineRule="auto"/>
        <w:rPr>
          <w:sz w:val="20"/>
          <w:szCs w:val="20"/>
          <w:color w:val="auto"/>
        </w:rPr>
      </w:pPr>
      <w:r>
        <w:rPr>
          <w:rFonts w:ascii="Times New Roman" w:cs="Times New Roman" w:eastAsia="Times New Roman" w:hAnsi="Times New Roman"/>
          <w:sz w:val="17"/>
          <w:szCs w:val="17"/>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6" w:name="page37"/>
    <w:bookmarkEnd w:id="36"/>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FORMS OF SECURITIES</w:t>
      </w:r>
    </w:p>
    <w:p>
      <w:pPr>
        <w:spacing w:after="0" w:line="109" w:lineRule="exact"/>
        <w:rPr>
          <w:sz w:val="20"/>
          <w:szCs w:val="20"/>
          <w:color w:val="auto"/>
        </w:rPr>
      </w:pPr>
    </w:p>
    <w:p>
      <w:pPr>
        <w:jc w:val="both"/>
        <w:ind w:left="600" w:right="599" w:firstLine="334"/>
        <w:spacing w:after="0" w:line="249" w:lineRule="auto"/>
        <w:rPr>
          <w:sz w:val="20"/>
          <w:szCs w:val="20"/>
          <w:color w:val="auto"/>
        </w:rPr>
      </w:pPr>
      <w:r>
        <w:rPr>
          <w:rFonts w:ascii="Times New Roman" w:cs="Times New Roman" w:eastAsia="Times New Roman" w:hAnsi="Times New Roman"/>
          <w:sz w:val="17"/>
          <w:szCs w:val="17"/>
          <w:color w:val="auto"/>
        </w:rPr>
        <w:t>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Registered Global Securities</w:t>
      </w:r>
    </w:p>
    <w:p>
      <w:pPr>
        <w:spacing w:after="0" w:line="109"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76" w:lineRule="exact"/>
        <w:rPr>
          <w:sz w:val="20"/>
          <w:szCs w:val="20"/>
          <w:color w:val="auto"/>
        </w:rPr>
      </w:pPr>
    </w:p>
    <w:p>
      <w:pPr>
        <w:jc w:val="both"/>
        <w:ind w:left="600" w:right="619" w:firstLine="334"/>
        <w:spacing w:after="0" w:line="259" w:lineRule="auto"/>
        <w:rPr>
          <w:sz w:val="20"/>
          <w:szCs w:val="20"/>
          <w:color w:val="auto"/>
        </w:rPr>
      </w:pPr>
      <w:r>
        <w:rPr>
          <w:rFonts w:ascii="Times New Roman" w:cs="Times New Roman" w:eastAsia="Times New Roman" w:hAnsi="Times New Roman"/>
          <w:sz w:val="17"/>
          <w:szCs w:val="17"/>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69" w:lineRule="exact"/>
        <w:rPr>
          <w:sz w:val="20"/>
          <w:szCs w:val="20"/>
          <w:color w:val="auto"/>
        </w:rPr>
      </w:pPr>
    </w:p>
    <w:p>
      <w:pPr>
        <w:jc w:val="both"/>
        <w:ind w:left="600" w:right="599" w:firstLine="334"/>
        <w:spacing w:after="0" w:line="248" w:lineRule="auto"/>
        <w:rPr>
          <w:sz w:val="20"/>
          <w:szCs w:val="20"/>
          <w:color w:val="auto"/>
        </w:rPr>
      </w:pPr>
      <w:r>
        <w:rPr>
          <w:rFonts w:ascii="Times New Roman" w:cs="Times New Roman" w:eastAsia="Times New Roman" w:hAnsi="Times New Roman"/>
          <w:sz w:val="17"/>
          <w:szCs w:val="17"/>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85" w:lineRule="exact"/>
        <w:rPr>
          <w:sz w:val="20"/>
          <w:szCs w:val="20"/>
          <w:color w:val="auto"/>
        </w:rPr>
      </w:pPr>
    </w:p>
    <w:p>
      <w:pPr>
        <w:jc w:val="both"/>
        <w:ind w:left="600" w:right="599" w:firstLine="334"/>
        <w:spacing w:after="0" w:line="264" w:lineRule="auto"/>
        <w:rPr>
          <w:sz w:val="20"/>
          <w:szCs w:val="20"/>
          <w:color w:val="auto"/>
        </w:rPr>
      </w:pPr>
      <w:r>
        <w:rPr>
          <w:rFonts w:ascii="Times New Roman" w:cs="Times New Roman" w:eastAsia="Times New Roman" w:hAnsi="Times New Roman"/>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275" w:lineRule="exact"/>
        <w:rPr>
          <w:sz w:val="20"/>
          <w:szCs w:val="20"/>
          <w:color w:val="auto"/>
        </w:rPr>
      </w:pPr>
    </w:p>
    <w:p>
      <w:pPr>
        <w:jc w:val="both"/>
        <w:ind w:left="600" w:right="599" w:firstLine="334"/>
        <w:spacing w:after="0" w:line="304" w:lineRule="auto"/>
        <w:rPr>
          <w:sz w:val="20"/>
          <w:szCs w:val="20"/>
          <w:color w:val="auto"/>
        </w:rPr>
      </w:pPr>
      <w:r>
        <w:rPr>
          <w:rFonts w:ascii="Times New Roman" w:cs="Times New Roman" w:eastAsia="Times New Roman" w:hAnsi="Times New Roman"/>
          <w:sz w:val="16"/>
          <w:szCs w:val="16"/>
          <w:color w:val="auto"/>
        </w:rPr>
        <w:t>Principal, premium, if any, and interest payments on debt securities, and any payments to holders with respect to warrants or units, represented by a registered global security registered in the name of a depositary or its nominee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7" w:name="page38"/>
    <w:bookmarkEnd w:id="37"/>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2" w:lineRule="exact"/>
        <w:rPr>
          <w:sz w:val="20"/>
          <w:szCs w:val="20"/>
          <w:color w:val="auto"/>
        </w:rPr>
      </w:pPr>
    </w:p>
    <w:p>
      <w:pPr>
        <w:jc w:val="both"/>
        <w:ind w:left="600" w:right="599"/>
        <w:spacing w:after="0" w:line="272" w:lineRule="auto"/>
        <w:rPr>
          <w:sz w:val="20"/>
          <w:szCs w:val="20"/>
          <w:color w:val="auto"/>
        </w:rPr>
      </w:pPr>
      <w:r>
        <w:rPr>
          <w:rFonts w:ascii="Times New Roman" w:cs="Times New Roman" w:eastAsia="Times New Roman" w:hAnsi="Times New Roman"/>
          <w:sz w:val="16"/>
          <w:szCs w:val="16"/>
          <w:color w:val="auto"/>
        </w:rPr>
        <w:t>will be made to the depositary or its nominee, as the case may be, as the registered owner of the registered global security. None of the Company, the trustees, the warrant agents, the unit agents or any other agent of the Company,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61"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76" w:lineRule="exact"/>
        <w:rPr>
          <w:sz w:val="20"/>
          <w:szCs w:val="20"/>
          <w:color w:val="auto"/>
        </w:rPr>
      </w:pPr>
    </w:p>
    <w:p>
      <w:pPr>
        <w:jc w:val="both"/>
        <w:ind w:left="600" w:right="599" w:firstLine="334"/>
        <w:spacing w:after="0" w:line="249" w:lineRule="auto"/>
        <w:rPr>
          <w:sz w:val="20"/>
          <w:szCs w:val="20"/>
          <w:color w:val="auto"/>
        </w:rPr>
      </w:pPr>
      <w:r>
        <w:rPr>
          <w:rFonts w:ascii="Times New Roman" w:cs="Times New Roman" w:eastAsia="Times New Roman" w:hAnsi="Times New Roman"/>
          <w:sz w:val="17"/>
          <w:szCs w:val="17"/>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8" w:name="page39"/>
    <w:bookmarkEnd w:id="38"/>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We may sell the securities in one or more of the following ways (or in any combination) from time to time:</w:t>
      </w:r>
    </w:p>
    <w:p>
      <w:pPr>
        <w:spacing w:after="0" w:line="105" w:lineRule="exact"/>
        <w:rPr>
          <w:sz w:val="20"/>
          <w:szCs w:val="20"/>
          <w:color w:val="auto"/>
        </w:rPr>
      </w:pPr>
    </w:p>
    <w:p>
      <w:pPr>
        <w:ind w:left="1260" w:hanging="334"/>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underwriters or dealers;</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to a limited number of purchasers or to a single purchaser;</w:t>
      </w:r>
    </w:p>
    <w:p>
      <w:pPr>
        <w:spacing w:after="0" w:line="105" w:lineRule="exact"/>
        <w:rPr>
          <w:rFonts w:ascii="Times New Roman" w:cs="Times New Roman" w:eastAsia="Times New Roman" w:hAnsi="Times New Roman"/>
          <w:sz w:val="17"/>
          <w:szCs w:val="17"/>
          <w:color w:val="auto"/>
        </w:rPr>
      </w:pPr>
    </w:p>
    <w:p>
      <w:pPr>
        <w:ind w:left="1260" w:right="619" w:hanging="334"/>
        <w:spacing w:after="0" w:line="272"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“at the market offerings,” within the meaning of Rule 415(a)(4) of the Securities Act, to or through a market maker or into an existing trading market on an exchange or otherwise;</w:t>
      </w:r>
    </w:p>
    <w:p>
      <w:pPr>
        <w:spacing w:after="0" w:line="58"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agents; or</w:t>
      </w:r>
    </w:p>
    <w:p>
      <w:pPr>
        <w:spacing w:after="0" w:line="105" w:lineRule="exact"/>
        <w:rPr>
          <w:rFonts w:ascii="Times New Roman" w:cs="Times New Roman" w:eastAsia="Times New Roman" w:hAnsi="Times New Roman"/>
          <w:sz w:val="17"/>
          <w:szCs w:val="17"/>
          <w:color w:val="auto"/>
        </w:rPr>
      </w:pPr>
    </w:p>
    <w:p>
      <w:pPr>
        <w:ind w:left="1260" w:right="619" w:hanging="334"/>
        <w:spacing w:after="0" w:line="272"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any other method permitted by applicable law and described in the applicable prospectus supplement.</w:t>
      </w:r>
    </w:p>
    <w:p>
      <w:pPr>
        <w:spacing w:after="0" w:line="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prospectus supplement will state the terms of the offering of the securities, including:</w:t>
      </w:r>
    </w:p>
    <w:p>
      <w:pPr>
        <w:spacing w:after="0" w:line="105" w:lineRule="exact"/>
        <w:rPr>
          <w:sz w:val="20"/>
          <w:szCs w:val="20"/>
          <w:color w:val="auto"/>
        </w:rPr>
      </w:pPr>
    </w:p>
    <w:p>
      <w:pPr>
        <w:ind w:left="1260" w:hanging="334"/>
        <w:spacing w:after="0"/>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or names of any underwriters, dealers or agents;</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price of such securities and the proceeds to be received by us, if any;</w:t>
      </w:r>
    </w:p>
    <w:p>
      <w:pPr>
        <w:spacing w:after="0" w:line="105" w:lineRule="exact"/>
        <w:rPr>
          <w:rFonts w:ascii="Times New Roman" w:cs="Times New Roman" w:eastAsia="Times New Roman" w:hAnsi="Times New Roman"/>
          <w:sz w:val="17"/>
          <w:szCs w:val="17"/>
          <w:color w:val="auto"/>
        </w:rPr>
      </w:pPr>
    </w:p>
    <w:p>
      <w:pPr>
        <w:ind w:left="1260" w:right="619" w:hanging="334"/>
        <w:spacing w:after="0" w:line="272" w:lineRule="auto"/>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underwriting discounts or agency fees and other items constituting underwriters’ or agents’ compensation;</w:t>
      </w:r>
    </w:p>
    <w:p>
      <w:pPr>
        <w:spacing w:after="0" w:line="58"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initial public offering price;</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discounts or concessions allowed or reallowed or paid to dealers; and</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exchanges on which the securities may be listed.</w:t>
      </w:r>
    </w:p>
    <w:p>
      <w:pPr>
        <w:spacing w:after="0" w:line="105" w:lineRule="exact"/>
        <w:rPr>
          <w:sz w:val="20"/>
          <w:szCs w:val="20"/>
          <w:color w:val="auto"/>
        </w:rPr>
      </w:pPr>
    </w:p>
    <w:p>
      <w:pPr>
        <w:ind w:left="600" w:right="599" w:firstLine="334"/>
        <w:spacing w:after="0" w:line="272" w:lineRule="auto"/>
        <w:rPr>
          <w:sz w:val="20"/>
          <w:szCs w:val="20"/>
          <w:color w:val="auto"/>
        </w:rPr>
      </w:pPr>
      <w:r>
        <w:rPr>
          <w:rFonts w:ascii="Times New Roman" w:cs="Times New Roman" w:eastAsia="Times New Roman" w:hAnsi="Times New Roman"/>
          <w:sz w:val="17"/>
          <w:szCs w:val="17"/>
          <w:color w:val="auto"/>
        </w:rPr>
        <w:t>Any initial public offering price and any discounts or concessions allowed or reallowed or paid to dealers may be changed from time to time.</w:t>
      </w:r>
    </w:p>
    <w:p>
      <w:pPr>
        <w:spacing w:after="0" w:line="58" w:lineRule="exact"/>
        <w:rPr>
          <w:sz w:val="20"/>
          <w:szCs w:val="20"/>
          <w:color w:val="auto"/>
        </w:rPr>
      </w:pPr>
    </w:p>
    <w:p>
      <w:pPr>
        <w:ind w:left="600" w:right="599" w:firstLine="334"/>
        <w:spacing w:after="0" w:line="272" w:lineRule="auto"/>
        <w:rPr>
          <w:sz w:val="20"/>
          <w:szCs w:val="20"/>
          <w:color w:val="auto"/>
        </w:rPr>
      </w:pPr>
      <w:r>
        <w:rPr>
          <w:rFonts w:ascii="Times New Roman" w:cs="Times New Roman" w:eastAsia="Times New Roman" w:hAnsi="Times New Roman"/>
          <w:sz w:val="17"/>
          <w:szCs w:val="17"/>
          <w:color w:val="auto"/>
        </w:rPr>
        <w:t>If underwriters are used in the sale, the securities will be acquired by the underwriters for their own account and may be resold from time to time in one or more transactions, including:</w:t>
      </w:r>
    </w:p>
    <w:p>
      <w:pPr>
        <w:spacing w:after="0" w:line="58" w:lineRule="exact"/>
        <w:rPr>
          <w:sz w:val="20"/>
          <w:szCs w:val="20"/>
          <w:color w:val="auto"/>
        </w:rPr>
      </w:pPr>
    </w:p>
    <w:p>
      <w:pPr>
        <w:ind w:left="1260" w:hanging="334"/>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negotiated transactions;</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fixed public offering price or prices, which may be changed;</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market prices prevailing at the time of sale;</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prices related to prevailing market prices; or</w:t>
      </w:r>
    </w:p>
    <w:p>
      <w:pPr>
        <w:spacing w:after="0" w:line="105" w:lineRule="exact"/>
        <w:rPr>
          <w:rFonts w:ascii="Times New Roman" w:cs="Times New Roman" w:eastAsia="Times New Roman" w:hAnsi="Times New Roman"/>
          <w:sz w:val="17"/>
          <w:szCs w:val="17"/>
          <w:color w:val="auto"/>
        </w:rPr>
      </w:pPr>
    </w:p>
    <w:p>
      <w:pPr>
        <w:ind w:left="1260" w:hanging="334"/>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negotiated prices.</w:t>
      </w:r>
    </w:p>
    <w:p>
      <w:pPr>
        <w:spacing w:after="0" w:line="105"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69"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69" w:lineRule="exact"/>
        <w:rPr>
          <w:sz w:val="20"/>
          <w:szCs w:val="20"/>
          <w:color w:val="auto"/>
        </w:rPr>
      </w:pPr>
    </w:p>
    <w:p>
      <w:pPr>
        <w:jc w:val="both"/>
        <w:ind w:left="600" w:right="599" w:firstLine="334"/>
        <w:spacing w:after="0" w:line="248" w:lineRule="auto"/>
        <w:rPr>
          <w:sz w:val="20"/>
          <w:szCs w:val="20"/>
          <w:color w:val="auto"/>
        </w:rPr>
      </w:pPr>
      <w:r>
        <w:rPr>
          <w:rFonts w:ascii="Times New Roman" w:cs="Times New Roman" w:eastAsia="Times New Roman" w:hAnsi="Times New Roman"/>
          <w:sz w:val="17"/>
          <w:szCs w:val="17"/>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spacing w:after="0" w:line="85"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We may authorize underwriters, dealers or agents to solicit offers by certain purchasers to purchase the securities at the public offering price set forth in the prospectus supplement pursuant to delayed delivery contracts providing</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39" w:name="page40"/>
    <w:bookmarkEnd w:id="39"/>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2" w:lineRule="exact"/>
        <w:rPr>
          <w:sz w:val="20"/>
          <w:szCs w:val="20"/>
          <w:color w:val="auto"/>
        </w:rPr>
      </w:pPr>
    </w:p>
    <w:p>
      <w:pPr>
        <w:jc w:val="both"/>
        <w:ind w:left="600" w:right="599"/>
        <w:spacing w:after="0" w:line="259" w:lineRule="auto"/>
        <w:rPr>
          <w:sz w:val="20"/>
          <w:szCs w:val="20"/>
          <w:color w:val="auto"/>
        </w:rPr>
      </w:pPr>
      <w:r>
        <w:rPr>
          <w:rFonts w:ascii="Times New Roman" w:cs="Times New Roman" w:eastAsia="Times New Roman" w:hAnsi="Times New Roman"/>
          <w:sz w:val="17"/>
          <w:szCs w:val="17"/>
          <w:color w:val="auto"/>
        </w:rPr>
        <w:t>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69" w:lineRule="exact"/>
        <w:rPr>
          <w:sz w:val="20"/>
          <w:szCs w:val="20"/>
          <w:color w:val="auto"/>
        </w:rPr>
      </w:pPr>
    </w:p>
    <w:p>
      <w:pPr>
        <w:jc w:val="both"/>
        <w:ind w:left="600" w:right="619" w:firstLine="334"/>
        <w:spacing w:after="0" w:line="259" w:lineRule="auto"/>
        <w:rPr>
          <w:sz w:val="20"/>
          <w:szCs w:val="20"/>
          <w:color w:val="auto"/>
        </w:rPr>
      </w:pPr>
      <w:r>
        <w:rPr>
          <w:rFonts w:ascii="Times New Roman" w:cs="Times New Roman" w:eastAsia="Times New Roman" w:hAnsi="Times New Roman"/>
          <w:sz w:val="17"/>
          <w:szCs w:val="17"/>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69" w:lineRule="exact"/>
        <w:rPr>
          <w:sz w:val="20"/>
          <w:szCs w:val="20"/>
          <w:color w:val="auto"/>
        </w:rPr>
      </w:pPr>
    </w:p>
    <w:p>
      <w:pPr>
        <w:jc w:val="both"/>
        <w:ind w:left="600" w:right="599" w:firstLine="334"/>
        <w:spacing w:after="0" w:line="255" w:lineRule="auto"/>
        <w:rPr>
          <w:sz w:val="20"/>
          <w:szCs w:val="20"/>
          <w:color w:val="auto"/>
        </w:rPr>
      </w:pPr>
      <w:r>
        <w:rPr>
          <w:rFonts w:ascii="Times New Roman" w:cs="Times New Roman" w:eastAsia="Times New Roman" w:hAnsi="Times New Roman"/>
          <w:sz w:val="17"/>
          <w:szCs w:val="17"/>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72"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Underwriters and agents may be customers of, engage in transactions with, or perform services for us and our affiliates in the ordinary course of business.</w:t>
      </w:r>
    </w:p>
    <w:p>
      <w:pPr>
        <w:spacing w:after="0" w:line="58" w:lineRule="exact"/>
        <w:rPr>
          <w:sz w:val="20"/>
          <w:szCs w:val="20"/>
          <w:color w:val="auto"/>
        </w:rPr>
      </w:pPr>
    </w:p>
    <w:p>
      <w:pPr>
        <w:jc w:val="both"/>
        <w:ind w:left="600" w:right="599" w:firstLine="334"/>
        <w:spacing w:after="0" w:line="252" w:lineRule="auto"/>
        <w:rPr>
          <w:sz w:val="20"/>
          <w:szCs w:val="20"/>
          <w:color w:val="auto"/>
        </w:rPr>
      </w:pPr>
      <w:r>
        <w:rPr>
          <w:rFonts w:ascii="Times New Roman" w:cs="Times New Roman" w:eastAsia="Times New Roman" w:hAnsi="Times New Roman"/>
          <w:sz w:val="17"/>
          <w:szCs w:val="17"/>
          <w:color w:val="auto"/>
        </w:rPr>
        <w:t>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0" w:name="page41"/>
    <w:bookmarkEnd w:id="40"/>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EXPENSES</w:t>
      </w:r>
    </w:p>
    <w:p>
      <w:pPr>
        <w:spacing w:after="0" w:line="109" w:lineRule="exact"/>
        <w:rPr>
          <w:sz w:val="20"/>
          <w:szCs w:val="20"/>
          <w:color w:val="auto"/>
        </w:rPr>
      </w:pPr>
    </w:p>
    <w:p>
      <w:pPr>
        <w:jc w:val="both"/>
        <w:ind w:left="600" w:right="599" w:firstLine="334"/>
        <w:spacing w:after="0" w:line="259" w:lineRule="auto"/>
        <w:rPr>
          <w:sz w:val="20"/>
          <w:szCs w:val="20"/>
          <w:color w:val="auto"/>
        </w:rPr>
      </w:pPr>
      <w:r>
        <w:rPr>
          <w:rFonts w:ascii="Times New Roman" w:cs="Times New Roman" w:eastAsia="Times New Roman" w:hAnsi="Times New Roman"/>
          <w:sz w:val="17"/>
          <w:szCs w:val="17"/>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199" w:lineRule="exact"/>
        <w:rPr>
          <w:sz w:val="20"/>
          <w:szCs w:val="20"/>
          <w:color w:val="auto"/>
        </w:rPr>
      </w:pPr>
    </w:p>
    <w:tbl>
      <w:tblPr>
        <w:tblLayout w:type="fixed"/>
        <w:tblInd w:w="600" w:type="dxa"/>
        <w:tblCellMar>
          <w:top w:w="0" w:type="dxa"/>
          <w:left w:w="0" w:type="dxa"/>
          <w:bottom w:w="0" w:type="dxa"/>
          <w:right w:w="0" w:type="dxa"/>
        </w:tblCellMar>
      </w:tblPr>
      <w:tr>
        <w:trPr>
          <w:trHeight w:val="177"/>
        </w:trPr>
        <w:tc>
          <w:tcPr>
            <w:tcW w:w="6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23"/>
        </w:trPr>
        <w:tc>
          <w:tcPr>
            <w:tcW w:w="6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r>
      <w:tr>
        <w:trPr>
          <w:trHeight w:val="231"/>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11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$55,240.00</w:t>
            </w:r>
          </w:p>
        </w:tc>
      </w:tr>
      <w:tr>
        <w:trPr>
          <w:trHeight w:val="217"/>
        </w:trPr>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Printing and engraving expenses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3"/>
                <w:szCs w:val="13"/>
                <w:color w:val="auto"/>
                <w:w w:val="92"/>
              </w:rPr>
              <w:t>(1)</w:t>
            </w:r>
          </w:p>
        </w:tc>
      </w:tr>
      <w:tr>
        <w:trPr>
          <w:trHeight w:val="23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w w:val="92"/>
              </w:rPr>
              <w:t>(1)</w:t>
            </w:r>
          </w:p>
        </w:tc>
      </w:tr>
      <w:tr>
        <w:trPr>
          <w:trHeight w:val="217"/>
        </w:trPr>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3"/>
                <w:szCs w:val="13"/>
                <w:color w:val="auto"/>
                <w:w w:val="92"/>
              </w:rPr>
              <w:t>(1)</w:t>
            </w:r>
          </w:p>
        </w:tc>
      </w:tr>
      <w:tr>
        <w:trPr>
          <w:trHeight w:val="23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Miscellaneous fees and expenses</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w w:val="92"/>
              </w:rPr>
              <w:t>(1)</w:t>
            </w:r>
          </w:p>
        </w:tc>
      </w:tr>
      <w:tr>
        <w:trPr>
          <w:trHeight w:val="221"/>
        </w:trPr>
        <w:tc>
          <w:tcPr>
            <w:tcW w:w="6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7"/>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170180</wp:posOffset>
            </wp:positionV>
            <wp:extent cx="7645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91" w:lineRule="exact"/>
        <w:rPr>
          <w:sz w:val="20"/>
          <w:szCs w:val="20"/>
          <w:color w:val="auto"/>
        </w:rPr>
      </w:pPr>
    </w:p>
    <w:p>
      <w:pPr>
        <w:ind w:left="920" w:right="619" w:hanging="328"/>
        <w:spacing w:after="0" w:line="259" w:lineRule="auto"/>
        <w:tabs>
          <w:tab w:leader="none" w:pos="9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fees and expenses depend on the securities offered and the number of issuances, and accordingly cannot be estimated at this time and will be reflected in the applicable prospectus supplement.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09" w:lineRule="exact"/>
        <w:rPr>
          <w:sz w:val="20"/>
          <w:szCs w:val="20"/>
          <w:color w:val="auto"/>
        </w:rPr>
      </w:pPr>
    </w:p>
    <w:p>
      <w:pPr>
        <w:jc w:val="both"/>
        <w:ind w:left="600" w:right="619" w:firstLine="334"/>
        <w:spacing w:after="0" w:line="255" w:lineRule="auto"/>
        <w:rPr>
          <w:sz w:val="20"/>
          <w:szCs w:val="20"/>
          <w:color w:val="auto"/>
        </w:rPr>
      </w:pPr>
      <w:r>
        <w:rPr>
          <w:rFonts w:ascii="Times New Roman" w:cs="Times New Roman" w:eastAsia="Times New Roman" w:hAnsi="Times New Roman"/>
          <w:sz w:val="17"/>
          <w:szCs w:val="17"/>
          <w:color w:val="auto"/>
        </w:rPr>
        <w:t>We are being represented by Davis Polk &amp; Wardwell LLP with respect to certain legal matters as to U.S. federal securities and New York State law. The validity of certain securities and certain other matters with respect to Irish law will be passed upon for us by A&amp;L Goodbody LLP. Any underwriters, dealers or agents will be advised by their own legal counsel concerning issues relating to any offering.</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09" w:lineRule="exact"/>
        <w:rPr>
          <w:sz w:val="20"/>
          <w:szCs w:val="20"/>
          <w:color w:val="auto"/>
        </w:rPr>
      </w:pPr>
    </w:p>
    <w:p>
      <w:pPr>
        <w:jc w:val="both"/>
        <w:ind w:left="600" w:right="599" w:firstLine="334"/>
        <w:spacing w:after="0" w:line="255" w:lineRule="auto"/>
        <w:rPr>
          <w:sz w:val="20"/>
          <w:szCs w:val="20"/>
          <w:color w:val="auto"/>
        </w:rPr>
      </w:pPr>
      <w:r>
        <w:rPr>
          <w:rFonts w:ascii="Times New Roman" w:cs="Times New Roman" w:eastAsia="Times New Roman" w:hAnsi="Times New Roman"/>
          <w:sz w:val="17"/>
          <w:szCs w:val="17"/>
          <w:color w:val="auto"/>
        </w:rPr>
        <w:t>The financial statements incorporated in this prospectus by reference to the Annual Report on Form 20-F for the year ended December 31, 2025 have been so incorporated in reliance on the report of PricewaterhouseCoopers, an independent registered public accounting firm, given on the authority of said firm as experts in auditing and accounting.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1" w:name="page42"/>
    <w:bookmarkEnd w:id="41"/>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SERVICE OF PROCESS AND ENFORCEMENT OF LIABILITIES</w:t>
      </w:r>
    </w:p>
    <w:p>
      <w:pPr>
        <w:spacing w:after="0" w:line="109"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We are organized under the laws of Ireland and our registered address is in Dublin, Ireland. In addition, all members of our Board of Directors, and all of our officers, as well as certain experts named herein, reside outside the United States. As a result, it may be difficult for investors to effect service of process within the United States upon GH Research PLC or such other persons residing outside the United States, or to enforce outside the United States judgments obtained against such persons in U.S. courts in any action, including actions predicated upon the civil liability provisions of the U.S. federal securities laws. In addition, it may be difficult for investors to enforce, in original actions brought in courts in jurisdictions located outside the United States, rights predicated upon the U.S. federal securities laws.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2" w:name="page43"/>
    <w:bookmarkEnd w:id="42"/>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09" w:lineRule="exact"/>
        <w:rPr>
          <w:sz w:val="20"/>
          <w:szCs w:val="20"/>
          <w:color w:val="auto"/>
        </w:rPr>
      </w:pPr>
    </w:p>
    <w:p>
      <w:pPr>
        <w:jc w:val="both"/>
        <w:ind w:left="600" w:right="599" w:firstLine="334"/>
        <w:spacing w:after="0" w:line="249" w:lineRule="auto"/>
        <w:rPr>
          <w:sz w:val="20"/>
          <w:szCs w:val="20"/>
          <w:color w:val="auto"/>
        </w:rPr>
      </w:pPr>
      <w:r>
        <w:rPr>
          <w:rFonts w:ascii="Times New Roman" w:cs="Times New Roman" w:eastAsia="Times New Roman" w:hAnsi="Times New Roman"/>
          <w:sz w:val="17"/>
          <w:szCs w:val="17"/>
          <w:color w:val="auto"/>
        </w:rPr>
        <w:t>We are subject to the informational requirements of the Exchange Act. Accordingly, we are required to file or furnish reports and other information with the SEC, including annual reports on Form 20-F and reports on Form 6-K. The SEC maintains an internet site at www.sec.gov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principal shareholders are exempt from the reporting provisions contained in Section 16 of the Exchange Act and our executive officers, directors and principal shareholders are exempt from the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78" w:lineRule="exact"/>
        <w:rPr>
          <w:sz w:val="20"/>
          <w:szCs w:val="20"/>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We have filed with the SEC a “shelf” registration statement (including exhibits to the registration statement) on Form F-3 under the Securities Act. This prospectus, which is part of the registration statement, does not contain all of the information set forth in the registration statement and the exhibits and schedules to the registration statement. We have omitted parts of the registration statement in accordance with the rules and regulations of the SEC.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76" w:lineRule="exact"/>
        <w:rPr>
          <w:sz w:val="20"/>
          <w:szCs w:val="20"/>
          <w:color w:val="auto"/>
        </w:rPr>
      </w:pPr>
    </w:p>
    <w:p>
      <w:pPr>
        <w:jc w:val="both"/>
        <w:ind w:left="600" w:right="599" w:firstLine="334"/>
        <w:spacing w:after="0" w:line="255" w:lineRule="auto"/>
        <w:rPr>
          <w:sz w:val="20"/>
          <w:szCs w:val="20"/>
          <w:color w:val="auto"/>
        </w:rPr>
      </w:pPr>
      <w:r>
        <w:rPr>
          <w:rFonts w:ascii="Times New Roman" w:cs="Times New Roman" w:eastAsia="Times New Roman" w:hAnsi="Times New Roman"/>
          <w:sz w:val="17"/>
          <w:szCs w:val="17"/>
          <w:color w:val="auto"/>
        </w:rPr>
        <w:t>We maintain a corporate website at www.ghres.com, at which you may access these materials free of charge as soon as reasonably practicable after they are electronically filed with, or furnished to, the SEC. The reference to our website is an inactive textual reference only, and information contained in or connected to our website is not incorporated into this prospectus or the registration statement of which it forms a part.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3" w:name="page44"/>
    <w:bookmarkEnd w:id="43"/>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INCORPORATED BY REFERENCE</w:t>
      </w:r>
    </w:p>
    <w:p>
      <w:pPr>
        <w:spacing w:after="0" w:line="109" w:lineRule="exact"/>
        <w:rPr>
          <w:sz w:val="20"/>
          <w:szCs w:val="20"/>
          <w:color w:val="auto"/>
        </w:rPr>
      </w:pPr>
    </w:p>
    <w:p>
      <w:pPr>
        <w:jc w:val="both"/>
        <w:ind w:left="600" w:right="599" w:firstLine="334"/>
        <w:spacing w:after="0" w:line="249" w:lineRule="auto"/>
        <w:rPr>
          <w:sz w:val="20"/>
          <w:szCs w:val="20"/>
          <w:color w:val="auto"/>
        </w:rPr>
      </w:pPr>
      <w:r>
        <w:rPr>
          <w:rFonts w:ascii="Times New Roman" w:cs="Times New Roman" w:eastAsia="Times New Roman" w:hAnsi="Times New Roman"/>
          <w:sz w:val="17"/>
          <w:szCs w:val="17"/>
          <w:color w:val="auto"/>
        </w:rPr>
        <w:t>The rules of the SEC allow us to incorporate by reference information in this prospectus, which means that we disclose important information to you by referring you to another document filed separately with the SEC. The information incorporated by reference in this prospectus is considered to be a part of this prospectus. Any statement made in this prospectus or in a document incorporated or deemed to be incorporated by reference in this prospectus will be deemed to be modified or superseded for purposes of this prospectus to the extent that a statement contained in this prospectus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 This prospectus incorporates by reference the documents listed below:</w:t>
      </w:r>
    </w:p>
    <w:p>
      <w:pPr>
        <w:spacing w:after="0" w:line="81" w:lineRule="exact"/>
        <w:rPr>
          <w:sz w:val="20"/>
          <w:szCs w:val="20"/>
          <w:color w:val="auto"/>
        </w:rPr>
      </w:pPr>
    </w:p>
    <w:p>
      <w:pPr>
        <w:ind w:left="1260" w:hanging="334"/>
        <w:spacing w:after="0"/>
        <w:tabs>
          <w:tab w:leader="none" w:pos="12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annual report on Form 20-F for the year ended </w:t>
      </w:r>
      <w:hyperlink r:id="rId78">
        <w:r>
          <w:rPr>
            <w:rFonts w:ascii="Times New Roman" w:cs="Times New Roman" w:eastAsia="Times New Roman" w:hAnsi="Times New Roman"/>
            <w:sz w:val="17"/>
            <w:szCs w:val="17"/>
            <w:u w:val="single" w:color="auto"/>
            <w:color w:val="0000EE"/>
          </w:rPr>
          <w:t>December 31, 2025</w:t>
        </w:r>
      </w:hyperlink>
      <w:r>
        <w:rPr>
          <w:rFonts w:ascii="Times New Roman" w:cs="Times New Roman" w:eastAsia="Times New Roman" w:hAnsi="Times New Roman"/>
          <w:sz w:val="17"/>
          <w:szCs w:val="17"/>
          <w:color w:val="auto"/>
        </w:rPr>
        <w:t>;</w:t>
      </w:r>
    </w:p>
    <w:p>
      <w:pPr>
        <w:spacing w:after="0" w:line="105" w:lineRule="exact"/>
        <w:rPr>
          <w:rFonts w:ascii="Times New Roman" w:cs="Times New Roman" w:eastAsia="Times New Roman" w:hAnsi="Times New Roman"/>
          <w:sz w:val="17"/>
          <w:szCs w:val="17"/>
          <w:color w:val="auto"/>
        </w:rPr>
      </w:pPr>
    </w:p>
    <w:p>
      <w:pPr>
        <w:ind w:left="1260" w:right="619" w:hanging="334"/>
        <w:spacing w:after="0" w:line="272" w:lineRule="auto"/>
        <w:tabs>
          <w:tab w:leader="none" w:pos="1260" w:val="left"/>
        </w:tabs>
        <w:numPr>
          <w:ilvl w:val="0"/>
          <w:numId w:val="18"/>
        </w:numPr>
        <w:rPr>
          <w:rFonts w:ascii="Times New Roman" w:cs="Times New Roman" w:eastAsia="Times New Roman" w:hAnsi="Times New Roman"/>
          <w:sz w:val="17"/>
          <w:szCs w:val="17"/>
          <w:color w:val="0000EE"/>
        </w:rPr>
      </w:pPr>
      <w:hyperlink r:id="rId79">
        <w:r>
          <w:rPr>
            <w:rFonts w:ascii="Times New Roman" w:cs="Times New Roman" w:eastAsia="Times New Roman" w:hAnsi="Times New Roman"/>
            <w:sz w:val="17"/>
            <w:szCs w:val="17"/>
            <w:color w:val="auto"/>
          </w:rPr>
          <w:t xml:space="preserve">our reports on Form 6-K filed with the SEC on </w:t>
        </w:r>
        <w:r>
          <w:rPr>
            <w:rFonts w:ascii="Times New Roman" w:cs="Times New Roman" w:eastAsia="Times New Roman" w:hAnsi="Times New Roman"/>
            <w:sz w:val="17"/>
            <w:szCs w:val="17"/>
            <w:u w:val="single" w:color="auto"/>
            <w:color w:val="0000EE"/>
          </w:rPr>
          <w:t>April 30, 2026</w:t>
        </w:r>
        <w:r>
          <w:rPr>
            <w:rFonts w:ascii="Times New Roman" w:cs="Times New Roman" w:eastAsia="Times New Roman" w:hAnsi="Times New Roman"/>
            <w:sz w:val="17"/>
            <w:szCs w:val="17"/>
            <w:color w:val="auto"/>
          </w:rPr>
          <w:t xml:space="preserve"> (other than Exhibit 99.1 thereto) and </w:t>
        </w:r>
        <w:r>
          <w:rPr>
            <w:rFonts w:ascii="Times New Roman" w:cs="Times New Roman" w:eastAsia="Times New Roman" w:hAnsi="Times New Roman"/>
            <w:sz w:val="17"/>
            <w:szCs w:val="17"/>
            <w:u w:val="single" w:color="auto"/>
            <w:color w:val="0000EE"/>
          </w:rPr>
          <w:t>May</w:t>
        </w:r>
      </w:hyperlink>
      <w:r>
        <w:rPr>
          <w:rFonts w:ascii="Times New Roman" w:cs="Times New Roman" w:eastAsia="Times New Roman" w:hAnsi="Times New Roman"/>
          <w:sz w:val="17"/>
          <w:szCs w:val="17"/>
          <w:color w:val="auto"/>
        </w:rPr>
        <w:t xml:space="preserve"> </w:t>
      </w:r>
      <w:hyperlink r:id="rId79">
        <w:r>
          <w:rPr>
            <w:rFonts w:ascii="Times New Roman" w:cs="Times New Roman" w:eastAsia="Times New Roman" w:hAnsi="Times New Roman"/>
            <w:sz w:val="17"/>
            <w:szCs w:val="17"/>
            <w:u w:val="single" w:color="auto"/>
            <w:color w:val="0000EE"/>
          </w:rPr>
          <w:t>14, 2026</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(other than Exhibits 99.3 and 99.4 thereto); and</w:t>
        </w:r>
      </w:hyperlink>
    </w:p>
    <w:p>
      <w:pPr>
        <w:spacing w:after="0" w:line="58" w:lineRule="exact"/>
        <w:rPr>
          <w:rFonts w:ascii="Times New Roman" w:cs="Times New Roman" w:eastAsia="Times New Roman" w:hAnsi="Times New Roman"/>
          <w:sz w:val="17"/>
          <w:szCs w:val="17"/>
          <w:color w:val="0000EE"/>
        </w:rPr>
      </w:pPr>
    </w:p>
    <w:p>
      <w:pPr>
        <w:ind w:left="1260" w:right="619" w:hanging="334"/>
        <w:spacing w:after="0" w:line="272" w:lineRule="auto"/>
        <w:tabs>
          <w:tab w:leader="none" w:pos="12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ordinary shares included in </w:t>
      </w:r>
      <w:hyperlink r:id="rId80">
        <w:r>
          <w:rPr>
            <w:rFonts w:ascii="Times New Roman" w:cs="Times New Roman" w:eastAsia="Times New Roman" w:hAnsi="Times New Roman"/>
            <w:sz w:val="17"/>
            <w:szCs w:val="17"/>
            <w:u w:val="single" w:color="auto"/>
            <w:color w:val="0000EE"/>
          </w:rPr>
          <w:t>Exhibit 2.1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to </w:t>
      </w:r>
      <w:hyperlink r:id="rId78">
        <w:r>
          <w:rPr>
            <w:rFonts w:ascii="Times New Roman" w:cs="Times New Roman" w:eastAsia="Times New Roman" w:hAnsi="Times New Roman"/>
            <w:sz w:val="17"/>
            <w:szCs w:val="17"/>
            <w:u w:val="single" w:color="auto"/>
            <w:color w:val="0000EE"/>
          </w:rPr>
          <w:t>Form 20-F</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2025, filed with the SEC on March 5, 2026.</w:t>
      </w:r>
    </w:p>
    <w:p>
      <w:pPr>
        <w:spacing w:after="0" w:line="58" w:lineRule="exact"/>
        <w:rPr>
          <w:rFonts w:ascii="Times New Roman" w:cs="Times New Roman" w:eastAsia="Times New Roman" w:hAnsi="Times New Roman"/>
          <w:sz w:val="17"/>
          <w:szCs w:val="17"/>
          <w:color w:val="auto"/>
        </w:rPr>
      </w:pPr>
    </w:p>
    <w:p>
      <w:pPr>
        <w:jc w:val="both"/>
        <w:ind w:left="600" w:right="599" w:firstLine="334"/>
        <w:spacing w:after="0" w:line="250" w:lineRule="auto"/>
        <w:rPr>
          <w:sz w:val="20"/>
          <w:szCs w:val="20"/>
          <w:color w:val="auto"/>
        </w:rPr>
      </w:pPr>
      <w:r>
        <w:rPr>
          <w:rFonts w:ascii="Times New Roman" w:cs="Times New Roman" w:eastAsia="Times New Roman" w:hAnsi="Times New Roman"/>
          <w:sz w:val="17"/>
          <w:szCs w:val="17"/>
          <w:color w:val="auto"/>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 We may incorporate by reference any reports on Form 6-K that we furnish to the SEC that we specifically identify in such form or in any applicable prospectus supplement as being incorporated by reference into this prospectus or such prospectus supplement after the date hereof and prior to the completion of an offering of securities under this prospectus.</w:t>
      </w:r>
    </w:p>
    <w:p>
      <w:pPr>
        <w:spacing w:after="0" w:line="76" w:lineRule="exact"/>
        <w:rPr>
          <w:rFonts w:ascii="Times New Roman" w:cs="Times New Roman" w:eastAsia="Times New Roman" w:hAnsi="Times New Roman"/>
          <w:sz w:val="17"/>
          <w:szCs w:val="17"/>
          <w:color w:val="auto"/>
        </w:rPr>
      </w:pPr>
    </w:p>
    <w:p>
      <w:pPr>
        <w:jc w:val="both"/>
        <w:ind w:left="600" w:right="599" w:firstLine="334"/>
        <w:spacing w:after="0" w:line="249" w:lineRule="auto"/>
        <w:rPr>
          <w:sz w:val="20"/>
          <w:szCs w:val="20"/>
          <w:color w:val="auto"/>
        </w:rPr>
      </w:pPr>
      <w:r>
        <w:rPr>
          <w:rFonts w:ascii="Times New Roman" w:cs="Times New Roman" w:eastAsia="Times New Roman" w:hAnsi="Times New Roman"/>
          <w:sz w:val="17"/>
          <w:szCs w:val="17"/>
          <w:color w:val="auto"/>
        </w:rPr>
        <w:t>You can obtain any of the filings incorporated by reference in this prospectus through us or from the SEC through the SEC’s website at www.sec.gov. Our filings with the SEC, including our annual reports on Form 20-F and reports on Form 6-K and exhibits incorporated in and amendments to those reports, are also available free of charge on our website (www.ghres.com) as soon as reasonably practicable after they are filed with, or furnished to, the SEC. The reference to our website is an inactive textual reference only, and information contained therein or connected thereto is not incorporated into this prospectus or the registration statement of which it forms a part. We will provide to each person, including any beneficial owner, to whom this prospectus is delivered, a copy of any or all the reports or documents incorporated by reference in this prospectus at no cost, upon written or oral request to us at the following address:</w:t>
      </w:r>
    </w:p>
    <w:p>
      <w:pPr>
        <w:spacing w:after="0" w:line="131" w:lineRule="exact"/>
        <w:rPr>
          <w:rFonts w:ascii="Times New Roman" w:cs="Times New Roman" w:eastAsia="Times New Roman" w:hAnsi="Times New Roman"/>
          <w:sz w:val="17"/>
          <w:szCs w:val="17"/>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GH Research PLC</w:t>
      </w:r>
    </w:p>
    <w:p>
      <w:pPr>
        <w:spacing w:after="0" w:line="21" w:lineRule="exact"/>
        <w:rPr>
          <w:rFonts w:ascii="Times New Roman" w:cs="Times New Roman" w:eastAsia="Times New Roman" w:hAnsi="Times New Roman"/>
          <w:sz w:val="17"/>
          <w:szCs w:val="17"/>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Joshua Dawson House</w:t>
      </w:r>
    </w:p>
    <w:p>
      <w:pPr>
        <w:spacing w:after="0" w:line="5" w:lineRule="exact"/>
        <w:rPr>
          <w:rFonts w:ascii="Times New Roman" w:cs="Times New Roman" w:eastAsia="Times New Roman" w:hAnsi="Times New Roman"/>
          <w:sz w:val="17"/>
          <w:szCs w:val="17"/>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Dawson Street</w:t>
      </w:r>
    </w:p>
    <w:p>
      <w:pPr>
        <w:spacing w:after="0" w:line="5" w:lineRule="exact"/>
        <w:rPr>
          <w:rFonts w:ascii="Times New Roman" w:cs="Times New Roman" w:eastAsia="Times New Roman" w:hAnsi="Times New Roman"/>
          <w:sz w:val="17"/>
          <w:szCs w:val="17"/>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Dublin 2</w:t>
      </w:r>
    </w:p>
    <w:p>
      <w:pPr>
        <w:spacing w:after="0" w:line="5" w:lineRule="exact"/>
        <w:rPr>
          <w:rFonts w:ascii="Times New Roman" w:cs="Times New Roman" w:eastAsia="Times New Roman" w:hAnsi="Times New Roman"/>
          <w:sz w:val="17"/>
          <w:szCs w:val="17"/>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D02 RY95</w:t>
      </w:r>
    </w:p>
    <w:p>
      <w:pPr>
        <w:spacing w:after="0" w:line="5" w:lineRule="exact"/>
        <w:rPr>
          <w:rFonts w:ascii="Times New Roman" w:cs="Times New Roman" w:eastAsia="Times New Roman" w:hAnsi="Times New Roman"/>
          <w:sz w:val="17"/>
          <w:szCs w:val="17"/>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Ireland</w:t>
      </w:r>
    </w:p>
    <w:p>
      <w:pPr>
        <w:spacing w:after="0" w:line="5" w:lineRule="exact"/>
        <w:rPr>
          <w:rFonts w:ascii="Times New Roman" w:cs="Times New Roman" w:eastAsia="Times New Roman" w:hAnsi="Times New Roman"/>
          <w:sz w:val="17"/>
          <w:szCs w:val="17"/>
          <w:color w:val="auto"/>
        </w:rPr>
      </w:pPr>
    </w:p>
    <w:p>
      <w:pPr>
        <w:ind w:left="4040" w:hanging="126"/>
        <w:spacing w:after="0"/>
        <w:tabs>
          <w:tab w:leader="none" w:pos="40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353 1 437 8334</w:t>
      </w:r>
    </w:p>
    <w:p>
      <w:pPr>
        <w:spacing w:after="0" w:line="189" w:lineRule="exact"/>
        <w:rPr>
          <w:rFonts w:ascii="Times New Roman" w:cs="Times New Roman" w:eastAsia="Times New Roman" w:hAnsi="Times New Roman"/>
          <w:sz w:val="17"/>
          <w:szCs w:val="17"/>
          <w:color w:val="auto"/>
        </w:rPr>
      </w:pPr>
    </w:p>
    <w:p>
      <w:pPr>
        <w:ind w:left="4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-384175</wp:posOffset>
            </wp:positionH>
            <wp:positionV relativeFrom="paragraph">
              <wp:posOffset>117475</wp:posOffset>
            </wp:positionV>
            <wp:extent cx="649732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4" w:name="page45"/>
    <w:bookmarkEnd w:id="44"/>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95885</wp:posOffset>
            </wp:positionV>
            <wp:extent cx="484124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4841240" cy="1587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159385</wp:posOffset>
            </wp:positionV>
            <wp:extent cx="48412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4841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30"/>
          <w:szCs w:val="30"/>
          <w:b w:val="1"/>
          <w:bCs w:val="1"/>
          <w:color w:val="auto"/>
        </w:rPr>
        <w:t>$400,000,000</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30"/>
          <w:szCs w:val="30"/>
          <w:b w:val="1"/>
          <w:bCs w:val="1"/>
          <w:color w:val="auto"/>
        </w:rPr>
        <w:t> </w:t>
      </w:r>
    </w:p>
    <w:p>
      <w:pPr>
        <w:jc w:val="center"/>
        <w:ind w:right="79"/>
        <w:spacing w:after="0" w:line="235" w:lineRule="auto"/>
        <w:rPr>
          <w:sz w:val="20"/>
          <w:szCs w:val="20"/>
          <w:color w:val="auto"/>
        </w:rPr>
      </w:pPr>
      <w:r>
        <w:rPr>
          <w:rFonts w:ascii="Times New Roman" w:cs="Times New Roman" w:eastAsia="Times New Roman" w:hAnsi="Times New Roman"/>
          <w:sz w:val="30"/>
          <w:szCs w:val="30"/>
          <w:b w:val="1"/>
          <w:bCs w:val="1"/>
          <w:color w:val="auto"/>
        </w:rPr>
        <w:t>Ordinary Shares</w:t>
      </w:r>
    </w:p>
    <w:p>
      <w:pPr>
        <w:jc w:val="center"/>
        <w:ind w:right="79"/>
        <w:spacing w:after="0" w:line="236" w:lineRule="auto"/>
        <w:rPr>
          <w:sz w:val="20"/>
          <w:szCs w:val="20"/>
          <w:color w:val="auto"/>
        </w:rPr>
      </w:pPr>
      <w:r>
        <w:rPr>
          <w:rFonts w:ascii="Times New Roman" w:cs="Times New Roman" w:eastAsia="Times New Roman" w:hAnsi="Times New Roman"/>
          <w:sz w:val="30"/>
          <w:szCs w:val="30"/>
          <w:b w:val="1"/>
          <w:bCs w:val="1"/>
          <w:color w:val="auto"/>
        </w:rPr>
        <w:t>Debt Securities</w:t>
      </w:r>
    </w:p>
    <w:p>
      <w:pPr>
        <w:jc w:val="center"/>
        <w:ind w:right="79"/>
        <w:spacing w:after="0" w:line="235" w:lineRule="auto"/>
        <w:rPr>
          <w:sz w:val="20"/>
          <w:szCs w:val="20"/>
          <w:color w:val="auto"/>
        </w:rPr>
      </w:pPr>
      <w:r>
        <w:rPr>
          <w:rFonts w:ascii="Times New Roman" w:cs="Times New Roman" w:eastAsia="Times New Roman" w:hAnsi="Times New Roman"/>
          <w:sz w:val="30"/>
          <w:szCs w:val="30"/>
          <w:b w:val="1"/>
          <w:bCs w:val="1"/>
          <w:color w:val="auto"/>
        </w:rPr>
        <w:t>Warrants</w:t>
      </w:r>
    </w:p>
    <w:p>
      <w:pPr>
        <w:jc w:val="center"/>
        <w:ind w:right="79"/>
        <w:spacing w:after="0" w:line="236" w:lineRule="auto"/>
        <w:rPr>
          <w:sz w:val="20"/>
          <w:szCs w:val="20"/>
          <w:color w:val="auto"/>
        </w:rPr>
      </w:pPr>
      <w:r>
        <w:rPr>
          <w:rFonts w:ascii="Times New Roman" w:cs="Times New Roman" w:eastAsia="Times New Roman" w:hAnsi="Times New Roman"/>
          <w:sz w:val="30"/>
          <w:szCs w:val="30"/>
          <w:b w:val="1"/>
          <w:bCs w:val="1"/>
          <w:color w:val="auto"/>
        </w:rPr>
        <w:t>Units</w:t>
      </w: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1590040</wp:posOffset>
            </wp:positionH>
            <wp:positionV relativeFrom="paragraph">
              <wp:posOffset>1217295</wp:posOffset>
            </wp:positionV>
            <wp:extent cx="2547620" cy="803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547620" cy="803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150495</wp:posOffset>
            </wp:positionV>
            <wp:extent cx="48412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4841240"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206375</wp:posOffset>
            </wp:positionV>
            <wp:extent cx="484124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4841240" cy="15875"/>
                    </a:xfrm>
                    <a:prstGeom prst="rect">
                      <a:avLst/>
                    </a:prstGeom>
                    <a:noFill/>
                  </pic:spPr>
                </pic:pic>
              </a:graphicData>
            </a:graphic>
          </wp:anchor>
        </w:drawing>
        <w:drawing>
          <wp:anchor simplePos="0" relativeHeight="251657728" behindDoc="1" locked="0" layoutInCell="0" allowOverlap="1">
            <wp:simplePos x="0" y="0"/>
            <wp:positionH relativeFrom="column">
              <wp:posOffset>-384175</wp:posOffset>
            </wp:positionH>
            <wp:positionV relativeFrom="paragraph">
              <wp:posOffset>334010</wp:posOffset>
            </wp:positionV>
            <wp:extent cx="649732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5" w:name="page46"/>
    <w:bookmarkEnd w:id="4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185" w:lineRule="exact"/>
        <w:rPr>
          <w:sz w:val="20"/>
          <w:szCs w:val="20"/>
          <w:color w:val="auto"/>
        </w:rPr>
      </w:pPr>
    </w:p>
    <w:p>
      <w:pPr>
        <w:ind w:left="60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Indemnification of Directors and Officers.</w:t>
      </w:r>
    </w:p>
    <w:p>
      <w:pPr>
        <w:spacing w:after="0" w:line="109" w:lineRule="exact"/>
        <w:rPr>
          <w:sz w:val="20"/>
          <w:szCs w:val="20"/>
          <w:color w:val="auto"/>
        </w:rPr>
      </w:pPr>
    </w:p>
    <w:p>
      <w:pPr>
        <w:jc w:val="both"/>
        <w:ind w:left="600" w:right="599" w:firstLine="334"/>
        <w:spacing w:after="0" w:line="265" w:lineRule="auto"/>
        <w:rPr>
          <w:sz w:val="20"/>
          <w:szCs w:val="20"/>
          <w:color w:val="auto"/>
        </w:rPr>
      </w:pPr>
      <w:r>
        <w:rPr>
          <w:rFonts w:ascii="Times New Roman" w:cs="Times New Roman" w:eastAsia="Times New Roman" w:hAnsi="Times New Roman"/>
          <w:sz w:val="16"/>
          <w:szCs w:val="16"/>
          <w:color w:val="auto"/>
        </w:rPr>
        <w:t>To the fullest extent permitted by Irish law, our Constitution (a copy of which is incorporated by reference as Exhibit 4.1 to this registration statement) confers an indemnity on our directors and officers. However, this indemnity is limited by the Irish Companies Act, which prescribes that an advance commitment to indemnify only permits a company to pay the costs or discharge the liability of a director or corporate secretary where judgment is given in favor of the director or corporate secretary in any civil or criminal action in respect of such costs or liability, or where an Irish court grants relief because the director or corporate secretary acted honestly and reasonably and ought fairly to be excused. Any provision whereby an Irish company seeks to commit in advance to indemnify its directors or corporate secretary over and above the limitations imposed by the Irish Companies Act will be void under Irish law, whether contained in the company’s constitution or any contract between the company and the director or corporate secretary. This restriction does not apply to our executives who are not directors or other persons who would not be considered “officers” within the meaning of that term under the Irish Companies Act.</w:t>
      </w:r>
    </w:p>
    <w:p>
      <w:pPr>
        <w:spacing w:after="0" w:line="72" w:lineRule="exact"/>
        <w:rPr>
          <w:sz w:val="20"/>
          <w:szCs w:val="20"/>
          <w:color w:val="auto"/>
        </w:rPr>
      </w:pPr>
    </w:p>
    <w:p>
      <w:pPr>
        <w:jc w:val="both"/>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Our Constitution also contains indemnification and expense advancement provisions for persons who are not directors or our corporate secretary.</w:t>
      </w:r>
    </w:p>
    <w:p>
      <w:pPr>
        <w:spacing w:after="0" w:line="58" w:lineRule="exact"/>
        <w:rPr>
          <w:sz w:val="20"/>
          <w:szCs w:val="20"/>
          <w:color w:val="auto"/>
        </w:rPr>
      </w:pPr>
    </w:p>
    <w:p>
      <w:pPr>
        <w:jc w:val="both"/>
        <w:ind w:left="600" w:right="599" w:firstLine="334"/>
        <w:spacing w:after="0" w:line="272" w:lineRule="auto"/>
        <w:rPr>
          <w:sz w:val="20"/>
          <w:szCs w:val="20"/>
          <w:color w:val="auto"/>
        </w:rPr>
      </w:pPr>
      <w:r>
        <w:rPr>
          <w:rFonts w:ascii="Times New Roman" w:cs="Times New Roman" w:eastAsia="Times New Roman" w:hAnsi="Times New Roman"/>
          <w:sz w:val="17"/>
          <w:szCs w:val="17"/>
          <w:color w:val="auto"/>
        </w:rPr>
        <w:t>We purchased directors’ and officers’ liability insurance, as well as other types of insurance, for our directors, officers, employees and agents, which is permitted under our Constitution and the Irish Companies Act.</w:t>
      </w:r>
    </w:p>
    <w:p>
      <w:pPr>
        <w:spacing w:after="0" w:line="155" w:lineRule="exact"/>
        <w:rPr>
          <w:sz w:val="20"/>
          <w:szCs w:val="20"/>
          <w:color w:val="auto"/>
        </w:rPr>
      </w:pPr>
    </w:p>
    <w:p>
      <w:pPr>
        <w:ind w:left="60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09" w:lineRule="exact"/>
        <w:rPr>
          <w:sz w:val="20"/>
          <w:szCs w:val="20"/>
          <w:color w:val="auto"/>
        </w:rPr>
      </w:pPr>
    </w:p>
    <w:p>
      <w:pPr>
        <w:jc w:val="both"/>
        <w:ind w:left="600" w:right="599" w:firstLine="334"/>
        <w:spacing w:after="0" w:line="272" w:lineRule="auto"/>
        <w:rPr>
          <w:sz w:val="20"/>
          <w:szCs w:val="20"/>
          <w:color w:val="auto"/>
        </w:rPr>
      </w:pPr>
      <w:r>
        <w:rPr>
          <w:rFonts w:ascii="Times New Roman" w:cs="Times New Roman" w:eastAsia="Times New Roman" w:hAnsi="Times New Roman"/>
          <w:sz w:val="17"/>
          <w:szCs w:val="17"/>
          <w:color w:val="auto"/>
        </w:rPr>
        <w:t>The exhibits to the registration statement are listed in the exhibit index attached hereto and are incorporated by reference herein.</w:t>
      </w:r>
    </w:p>
    <w:p>
      <w:pPr>
        <w:spacing w:after="0" w:line="155" w:lineRule="exact"/>
        <w:rPr>
          <w:sz w:val="20"/>
          <w:szCs w:val="20"/>
          <w:color w:val="auto"/>
        </w:rPr>
      </w:pPr>
    </w:p>
    <w:p>
      <w:pPr>
        <w:ind w:left="60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Undertakings</w:t>
      </w:r>
    </w:p>
    <w:p>
      <w:pPr>
        <w:spacing w:after="0" w:line="1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undersigned registrant hereby undertakes:</w:t>
      </w:r>
    </w:p>
    <w:p>
      <w:pPr>
        <w:spacing w:after="0" w:line="105" w:lineRule="exact"/>
        <w:rPr>
          <w:sz w:val="20"/>
          <w:szCs w:val="20"/>
          <w:color w:val="auto"/>
        </w:rPr>
      </w:pPr>
    </w:p>
    <w:p>
      <w:pPr>
        <w:ind w:left="1260" w:right="619" w:hanging="334"/>
        <w:spacing w:after="0" w:line="272" w:lineRule="auto"/>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58" w:lineRule="exact"/>
        <w:rPr>
          <w:rFonts w:ascii="Times New Roman" w:cs="Times New Roman" w:eastAsia="Times New Roman" w:hAnsi="Times New Roman"/>
          <w:sz w:val="17"/>
          <w:szCs w:val="17"/>
          <w:color w:val="auto"/>
        </w:rPr>
      </w:pPr>
    </w:p>
    <w:p>
      <w:pPr>
        <w:ind w:left="1580" w:hanging="319"/>
        <w:spacing w:after="0"/>
        <w:tabs>
          <w:tab w:leader="none" w:pos="158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105" w:lineRule="exact"/>
        <w:rPr>
          <w:rFonts w:ascii="Times New Roman" w:cs="Times New Roman" w:eastAsia="Times New Roman" w:hAnsi="Times New Roman"/>
          <w:sz w:val="17"/>
          <w:szCs w:val="17"/>
          <w:color w:val="auto"/>
        </w:rPr>
      </w:pPr>
    </w:p>
    <w:p>
      <w:pPr>
        <w:jc w:val="both"/>
        <w:ind w:left="1580" w:right="619" w:hanging="319"/>
        <w:spacing w:after="0" w:line="249" w:lineRule="auto"/>
        <w:tabs>
          <w:tab w:leader="none" w:pos="158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spacing w:after="0" w:line="78" w:lineRule="exact"/>
        <w:rPr>
          <w:rFonts w:ascii="Times New Roman" w:cs="Times New Roman" w:eastAsia="Times New Roman" w:hAnsi="Times New Roman"/>
          <w:sz w:val="17"/>
          <w:szCs w:val="17"/>
          <w:color w:val="auto"/>
        </w:rPr>
      </w:pPr>
    </w:p>
    <w:p>
      <w:pPr>
        <w:ind w:left="1580" w:right="619" w:hanging="319"/>
        <w:spacing w:after="0" w:line="304" w:lineRule="auto"/>
        <w:tabs>
          <w:tab w:leader="none" w:pos="158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35" w:lineRule="exact"/>
        <w:rPr>
          <w:sz w:val="20"/>
          <w:szCs w:val="20"/>
          <w:color w:val="auto"/>
        </w:rPr>
      </w:pPr>
    </w:p>
    <w:p>
      <w:pPr>
        <w:jc w:val="both"/>
        <w:ind w:left="920" w:right="599"/>
        <w:spacing w:after="0" w:line="252" w:lineRule="auto"/>
        <w:rPr>
          <w:sz w:val="20"/>
          <w:szCs w:val="20"/>
          <w:color w:val="auto"/>
        </w:rPr>
      </w:pPr>
      <w:r>
        <w:rPr>
          <w:rFonts w:ascii="Times New Roman" w:cs="Times New Roman" w:eastAsia="Times New Roman" w:hAnsi="Times New Roman"/>
          <w:sz w:val="17"/>
          <w:szCs w:val="17"/>
          <w:color w:val="auto"/>
        </w:rPr>
        <w:t>provided, however, that paragraphs (a)(1), (a)(2) and (a)(3)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77" w:lineRule="exact"/>
        <w:rPr>
          <w:sz w:val="20"/>
          <w:szCs w:val="20"/>
          <w:color w:val="auto"/>
        </w:rPr>
      </w:pPr>
    </w:p>
    <w:p>
      <w:pPr>
        <w:jc w:val="both"/>
        <w:ind w:left="1260" w:right="619" w:hanging="334"/>
        <w:spacing w:after="0" w:line="283" w:lineRule="auto"/>
        <w:tabs>
          <w:tab w:leader="none" w:pos="12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117475</wp:posOffset>
            </wp:positionV>
            <wp:extent cx="649732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6" w:name="page47"/>
    <w:bookmarkEnd w:id="46"/>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2" w:lineRule="exact"/>
        <w:rPr>
          <w:sz w:val="20"/>
          <w:szCs w:val="20"/>
          <w:color w:val="auto"/>
        </w:rPr>
      </w:pPr>
    </w:p>
    <w:p>
      <w:pPr>
        <w:ind w:left="1260" w:right="619" w:hanging="334"/>
        <w:spacing w:after="0" w:line="272" w:lineRule="auto"/>
        <w:tabs>
          <w:tab w:leader="none" w:pos="12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58" w:lineRule="exact"/>
        <w:rPr>
          <w:rFonts w:ascii="Times New Roman" w:cs="Times New Roman" w:eastAsia="Times New Roman" w:hAnsi="Times New Roman"/>
          <w:sz w:val="17"/>
          <w:szCs w:val="17"/>
          <w:color w:val="auto"/>
        </w:rPr>
      </w:pPr>
    </w:p>
    <w:p>
      <w:pPr>
        <w:jc w:val="both"/>
        <w:ind w:left="1260" w:right="599" w:hanging="334"/>
        <w:spacing w:after="0" w:line="265" w:lineRule="auto"/>
        <w:tabs>
          <w:tab w:leader="none" w:pos="12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(d)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Item 8.A of Form 20-F if such financial statements and information are contained in periodic reports filed with or furnished to the Commission by the registrant pursuant to Section 13 or Section 15(d) of the Exchange Act that are incorporated by reference in the Form F-3;</w:t>
      </w:r>
    </w:p>
    <w:p>
      <w:pPr>
        <w:spacing w:after="0" w:line="72" w:lineRule="exact"/>
        <w:rPr>
          <w:rFonts w:ascii="Times New Roman" w:cs="Times New Roman" w:eastAsia="Times New Roman" w:hAnsi="Times New Roman"/>
          <w:sz w:val="16"/>
          <w:szCs w:val="16"/>
          <w:color w:val="auto"/>
        </w:rPr>
      </w:pPr>
    </w:p>
    <w:p>
      <w:pPr>
        <w:ind w:left="1260" w:hanging="334"/>
        <w:spacing w:after="0"/>
        <w:tabs>
          <w:tab w:leader="none" w:pos="12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to any purchaser:</w:t>
      </w:r>
    </w:p>
    <w:p>
      <w:pPr>
        <w:spacing w:after="0" w:line="105" w:lineRule="exact"/>
        <w:rPr>
          <w:rFonts w:ascii="Times New Roman" w:cs="Times New Roman" w:eastAsia="Times New Roman" w:hAnsi="Times New Roman"/>
          <w:sz w:val="17"/>
          <w:szCs w:val="17"/>
          <w:color w:val="auto"/>
        </w:rPr>
      </w:pPr>
    </w:p>
    <w:p>
      <w:pPr>
        <w:jc w:val="both"/>
        <w:ind w:left="1580" w:right="619" w:hanging="319"/>
        <w:spacing w:after="0" w:line="259" w:lineRule="auto"/>
        <w:tabs>
          <w:tab w:leader="none" w:pos="15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9" w:lineRule="exact"/>
        <w:rPr>
          <w:rFonts w:ascii="Times New Roman" w:cs="Times New Roman" w:eastAsia="Times New Roman" w:hAnsi="Times New Roman"/>
          <w:sz w:val="17"/>
          <w:szCs w:val="17"/>
          <w:color w:val="auto"/>
        </w:rPr>
      </w:pPr>
    </w:p>
    <w:p>
      <w:pPr>
        <w:jc w:val="both"/>
        <w:ind w:left="1580" w:right="619" w:hanging="319"/>
        <w:spacing w:after="0" w:line="256" w:lineRule="auto"/>
        <w:tabs>
          <w:tab w:leader="none" w:pos="15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w:t>
      </w:r>
    </w:p>
    <w:p>
      <w:pPr>
        <w:jc w:val="both"/>
        <w:ind w:left="1580" w:right="619"/>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87" w:lineRule="exact"/>
        <w:rPr>
          <w:rFonts w:ascii="Times New Roman" w:cs="Times New Roman" w:eastAsia="Times New Roman" w:hAnsi="Times New Roman"/>
          <w:sz w:val="17"/>
          <w:szCs w:val="17"/>
          <w:color w:val="auto"/>
        </w:rPr>
      </w:pPr>
    </w:p>
    <w:p>
      <w:pPr>
        <w:jc w:val="both"/>
        <w:ind w:left="1260" w:right="599" w:hanging="334"/>
        <w:spacing w:after="0" w:line="251" w:lineRule="auto"/>
        <w:tabs>
          <w:tab w:leader="none" w:pos="12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7" w:lineRule="exact"/>
        <w:rPr>
          <w:rFonts w:ascii="Times New Roman" w:cs="Times New Roman" w:eastAsia="Times New Roman" w:hAnsi="Times New Roman"/>
          <w:sz w:val="17"/>
          <w:szCs w:val="17"/>
          <w:color w:val="auto"/>
        </w:rPr>
      </w:pPr>
    </w:p>
    <w:p>
      <w:pPr>
        <w:ind w:left="1580" w:right="619" w:hanging="319"/>
        <w:spacing w:after="0" w:line="272" w:lineRule="auto"/>
        <w:tabs>
          <w:tab w:leader="none" w:pos="15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58" w:lineRule="exact"/>
        <w:rPr>
          <w:rFonts w:ascii="Times New Roman" w:cs="Times New Roman" w:eastAsia="Times New Roman" w:hAnsi="Times New Roman"/>
          <w:sz w:val="17"/>
          <w:szCs w:val="17"/>
          <w:color w:val="auto"/>
        </w:rPr>
      </w:pPr>
    </w:p>
    <w:p>
      <w:pPr>
        <w:ind w:left="1580" w:right="619" w:hanging="319"/>
        <w:spacing w:after="0" w:line="272" w:lineRule="auto"/>
        <w:tabs>
          <w:tab w:leader="none" w:pos="15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58" w:lineRule="exact"/>
        <w:rPr>
          <w:rFonts w:ascii="Times New Roman" w:cs="Times New Roman" w:eastAsia="Times New Roman" w:hAnsi="Times New Roman"/>
          <w:sz w:val="17"/>
          <w:szCs w:val="17"/>
          <w:color w:val="auto"/>
        </w:rPr>
      </w:pPr>
    </w:p>
    <w:p>
      <w:pPr>
        <w:jc w:val="both"/>
        <w:ind w:left="1580" w:right="619" w:hanging="319"/>
        <w:spacing w:after="0" w:line="259" w:lineRule="auto"/>
        <w:tabs>
          <w:tab w:leader="none" w:pos="15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69" w:lineRule="exact"/>
        <w:rPr>
          <w:rFonts w:ascii="Times New Roman" w:cs="Times New Roman" w:eastAsia="Times New Roman" w:hAnsi="Times New Roman"/>
          <w:sz w:val="17"/>
          <w:szCs w:val="17"/>
          <w:color w:val="auto"/>
        </w:rPr>
      </w:pPr>
    </w:p>
    <w:p>
      <w:pPr>
        <w:ind w:left="1580" w:right="619" w:hanging="319"/>
        <w:spacing w:after="0" w:line="272" w:lineRule="auto"/>
        <w:tabs>
          <w:tab w:leader="none" w:pos="15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58" w:lineRule="exact"/>
        <w:rPr>
          <w:sz w:val="20"/>
          <w:szCs w:val="20"/>
          <w:color w:val="auto"/>
        </w:rPr>
      </w:pPr>
    </w:p>
    <w:p>
      <w:pPr>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The undersigned registrant hereby undertakes that, for purposes of determining any liability under the Securities Act, each filing of the registrant’s annual report pursuant to Section 13(a) or Section 15(d) of the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7" w:name="page48"/>
    <w:bookmarkEnd w:id="47"/>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2" w:lineRule="exact"/>
        <w:rPr>
          <w:sz w:val="20"/>
          <w:szCs w:val="20"/>
          <w:color w:val="auto"/>
        </w:rPr>
      </w:pPr>
    </w:p>
    <w:p>
      <w:pPr>
        <w:jc w:val="both"/>
        <w:ind w:left="600" w:right="599"/>
        <w:spacing w:after="0" w:line="255" w:lineRule="auto"/>
        <w:rPr>
          <w:sz w:val="20"/>
          <w:szCs w:val="20"/>
          <w:color w:val="auto"/>
        </w:rPr>
      </w:pPr>
      <w:r>
        <w:rPr>
          <w:rFonts w:ascii="Times New Roman" w:cs="Times New Roman" w:eastAsia="Times New Roman" w:hAnsi="Times New Roman"/>
          <w:sz w:val="17"/>
          <w:szCs w:val="17"/>
          <w:color w:val="auto"/>
        </w:rPr>
        <w:t>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2" w:lineRule="exact"/>
        <w:rPr>
          <w:sz w:val="20"/>
          <w:szCs w:val="20"/>
          <w:color w:val="auto"/>
        </w:rPr>
      </w:pPr>
    </w:p>
    <w:p>
      <w:pPr>
        <w:jc w:val="both"/>
        <w:ind w:left="600" w:right="599" w:firstLine="334"/>
        <w:spacing w:after="0" w:line="249"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8" w:lineRule="exact"/>
        <w:rPr>
          <w:sz w:val="20"/>
          <w:szCs w:val="20"/>
          <w:color w:val="auto"/>
        </w:rPr>
      </w:pPr>
    </w:p>
    <w:p>
      <w:pPr>
        <w:jc w:val="both"/>
        <w:ind w:left="600" w:right="619" w:firstLine="334"/>
        <w:spacing w:after="0" w:line="259" w:lineRule="auto"/>
        <w:rPr>
          <w:sz w:val="20"/>
          <w:szCs w:val="20"/>
          <w:color w:val="auto"/>
        </w:rPr>
      </w:pPr>
      <w:r>
        <w:rPr>
          <w:rFonts w:ascii="Times New Roman" w:cs="Times New Roman" w:eastAsia="Times New Roman" w:hAnsi="Times New Roman"/>
          <w:sz w:val="17"/>
          <w:szCs w:val="17"/>
          <w:color w:val="auto"/>
        </w:rPr>
        <w:t>The undersigned registrant hereby undertakes to file an application for the purpose of determining the eligibility of the trustee to act under Section 310 of the Trust Indenture Act (“Act”) in accordance with the rules and regulations prescribed by the Commission under section 305(b)(2) of the Act.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125095</wp:posOffset>
            </wp:positionV>
            <wp:extent cx="649732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8" w:name="page49"/>
    <w:bookmarkEnd w:id="48"/>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227" w:lineRule="exact"/>
        <w:rPr>
          <w:sz w:val="20"/>
          <w:szCs w:val="20"/>
          <w:color w:val="auto"/>
        </w:rPr>
      </w:pPr>
    </w:p>
    <w:tbl>
      <w:tblPr>
        <w:tblLayout w:type="fixed"/>
        <w:tblInd w:w="60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Incorporation by Reference</w:t>
            </w:r>
          </w:p>
        </w:tc>
        <w:tc>
          <w:tcPr>
            <w:tcW w:w="0" w:type="dxa"/>
            <w:vAlign w:val="bottom"/>
          </w:tcPr>
          <w:p>
            <w:pPr>
              <w:spacing w:after="0"/>
              <w:rPr>
                <w:sz w:val="1"/>
                <w:szCs w:val="1"/>
                <w:color w:val="auto"/>
              </w:rPr>
            </w:pPr>
          </w:p>
        </w:tc>
      </w:tr>
      <w:tr>
        <w:trPr>
          <w:trHeight w:val="23"/>
        </w:trPr>
        <w:tc>
          <w:tcPr>
            <w:tcW w:w="66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00" w:type="dxa"/>
            <w:vAlign w:val="bottom"/>
          </w:tcPr>
          <w:p>
            <w:pPr>
              <w:spacing w:after="0" w:line="20" w:lineRule="exact"/>
              <w:rPr>
                <w:sz w:val="1"/>
                <w:szCs w:val="1"/>
                <w:color w:val="auto"/>
              </w:rPr>
            </w:pPr>
          </w:p>
        </w:tc>
        <w:tc>
          <w:tcPr>
            <w:tcW w:w="3300" w:type="dxa"/>
            <w:vAlign w:val="bottom"/>
            <w:vMerge w:val="restart"/>
          </w:tcPr>
          <w:p>
            <w:pPr>
              <w:ind w:left="13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6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00" w:type="dxa"/>
            <w:vAlign w:val="bottom"/>
          </w:tcPr>
          <w:p>
            <w:pPr>
              <w:spacing w:after="0"/>
              <w:rPr>
                <w:sz w:val="14"/>
                <w:szCs w:val="14"/>
                <w:color w:val="auto"/>
              </w:rPr>
            </w:pPr>
          </w:p>
        </w:tc>
        <w:tc>
          <w:tcPr>
            <w:tcW w:w="10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0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0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Filing Date</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1.1*</w:t>
            </w:r>
          </w:p>
        </w:tc>
        <w:tc>
          <w:tcPr>
            <w:tcW w:w="30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Form of Underwriting Agreement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7"/>
                <w:szCs w:val="17"/>
                <w:color w:val="auto"/>
              </w:rPr>
              <w:t>Constitution of GH Research PLC</w:t>
            </w:r>
          </w:p>
        </w:tc>
        <w:tc>
          <w:tcPr>
            <w:tcW w:w="100" w:type="dxa"/>
            <w:vAlign w:val="bottom"/>
          </w:tcPr>
          <w:p>
            <w:pPr>
              <w:spacing w:after="0"/>
              <w:rPr>
                <w:sz w:val="15"/>
                <w:szCs w:val="15"/>
                <w:color w:val="auto"/>
              </w:rPr>
            </w:pPr>
          </w:p>
        </w:tc>
        <w:tc>
          <w:tcPr>
            <w:tcW w:w="400" w:type="dxa"/>
            <w:vAlign w:val="bottom"/>
            <w:gridSpan w:val="3"/>
          </w:tcPr>
          <w:p>
            <w:pPr>
              <w:spacing w:after="0" w:line="176" w:lineRule="exact"/>
              <w:rPr>
                <w:rFonts w:ascii="Times New Roman" w:cs="Times New Roman" w:eastAsia="Times New Roman" w:hAnsi="Times New Roman"/>
                <w:sz w:val="17"/>
                <w:szCs w:val="17"/>
                <w:color w:val="0000EE"/>
              </w:rPr>
            </w:pPr>
            <w:hyperlink r:id="rId91">
              <w:r>
                <w:rPr>
                  <w:rFonts w:ascii="Times New Roman" w:cs="Times New Roman" w:eastAsia="Times New Roman" w:hAnsi="Times New Roman"/>
                  <w:sz w:val="17"/>
                  <w:szCs w:val="17"/>
                  <w:color w:val="0000EE"/>
                </w:rPr>
                <w:t>20-F</w:t>
              </w:r>
            </w:hyperlink>
          </w:p>
        </w:tc>
        <w:tc>
          <w:tcPr>
            <w:tcW w:w="118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7"/>
                <w:szCs w:val="17"/>
                <w:color w:val="auto"/>
              </w:rPr>
              <w:t>001-40530</w:t>
            </w:r>
          </w:p>
        </w:tc>
        <w:tc>
          <w:tcPr>
            <w:tcW w:w="900" w:type="dxa"/>
            <w:vAlign w:val="bottom"/>
            <w:gridSpan w:val="2"/>
          </w:tcPr>
          <w:p>
            <w:pPr>
              <w:jc w:val="right"/>
              <w:ind w:right="533"/>
              <w:spacing w:after="0" w:line="176" w:lineRule="exact"/>
              <w:rPr>
                <w:sz w:val="20"/>
                <w:szCs w:val="20"/>
                <w:color w:val="auto"/>
              </w:rPr>
            </w:pPr>
            <w:r>
              <w:rPr>
                <w:rFonts w:ascii="Times New Roman" w:cs="Times New Roman" w:eastAsia="Times New Roman" w:hAnsi="Times New Roman"/>
                <w:sz w:val="17"/>
                <w:szCs w:val="17"/>
                <w:color w:val="auto"/>
              </w:rPr>
              <w:t>1.1</w:t>
            </w:r>
          </w:p>
        </w:tc>
        <w:tc>
          <w:tcPr>
            <w:tcW w:w="118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7"/>
                <w:szCs w:val="17"/>
                <w:color w:val="auto"/>
              </w:rPr>
              <w:t>March 9, 2023</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4.2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0" w:type="dxa"/>
            <w:vAlign w:val="bottom"/>
            <w:gridSpan w:val="2"/>
            <w:shd w:val="clear" w:color="auto" w:fill="CCEEFF"/>
          </w:tcPr>
          <w:p>
            <w:pPr>
              <w:ind w:left="80"/>
              <w:spacing w:after="0" w:line="176" w:lineRule="exact"/>
              <w:rPr>
                <w:sz w:val="20"/>
                <w:szCs w:val="20"/>
                <w:color w:val="auto"/>
              </w:rPr>
            </w:pPr>
            <w:r>
              <w:rPr>
                <w:rFonts w:ascii="Times New Roman" w:cs="Times New Roman" w:eastAsia="Times New Roman" w:hAnsi="Times New Roman"/>
                <w:sz w:val="17"/>
                <w:szCs w:val="17"/>
                <w:color w:val="auto"/>
              </w:rPr>
              <w:t>Form of Indenture</w:t>
            </w:r>
          </w:p>
        </w:tc>
        <w:tc>
          <w:tcPr>
            <w:tcW w:w="100" w:type="dxa"/>
            <w:vAlign w:val="bottom"/>
            <w:shd w:val="clear" w:color="auto" w:fill="CCEEFF"/>
          </w:tcPr>
          <w:p>
            <w:pPr>
              <w:spacing w:after="0"/>
              <w:rPr>
                <w:sz w:val="17"/>
                <w:szCs w:val="17"/>
                <w:color w:val="auto"/>
              </w:rPr>
            </w:pPr>
          </w:p>
        </w:tc>
        <w:tc>
          <w:tcPr>
            <w:tcW w:w="400" w:type="dxa"/>
            <w:vAlign w:val="bottom"/>
            <w:gridSpan w:val="3"/>
            <w:shd w:val="clear" w:color="auto" w:fill="CCEEFF"/>
          </w:tcPr>
          <w:p>
            <w:pPr>
              <w:spacing w:after="0" w:line="176" w:lineRule="exact"/>
              <w:rPr>
                <w:rFonts w:ascii="Times New Roman" w:cs="Times New Roman" w:eastAsia="Times New Roman" w:hAnsi="Times New Roman"/>
                <w:sz w:val="17"/>
                <w:szCs w:val="17"/>
                <w:color w:val="0000EE"/>
              </w:rPr>
            </w:pPr>
            <w:hyperlink r:id="rId92">
              <w:r>
                <w:rPr>
                  <w:rFonts w:ascii="Times New Roman" w:cs="Times New Roman" w:eastAsia="Times New Roman" w:hAnsi="Times New Roman"/>
                  <w:sz w:val="17"/>
                  <w:szCs w:val="17"/>
                  <w:color w:val="0000EE"/>
                </w:rPr>
                <w:t>F-3</w:t>
              </w:r>
            </w:hyperlink>
          </w:p>
        </w:tc>
        <w:tc>
          <w:tcPr>
            <w:tcW w:w="118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7"/>
                <w:szCs w:val="17"/>
                <w:color w:val="auto"/>
              </w:rPr>
              <w:t>333-270418</w:t>
            </w:r>
          </w:p>
        </w:tc>
        <w:tc>
          <w:tcPr>
            <w:tcW w:w="900" w:type="dxa"/>
            <w:vAlign w:val="bottom"/>
            <w:gridSpan w:val="2"/>
            <w:shd w:val="clear" w:color="auto" w:fill="CCEEFF"/>
          </w:tcPr>
          <w:p>
            <w:pPr>
              <w:jc w:val="right"/>
              <w:ind w:right="533"/>
              <w:spacing w:after="0" w:line="176" w:lineRule="exact"/>
              <w:rPr>
                <w:sz w:val="20"/>
                <w:szCs w:val="20"/>
                <w:color w:val="auto"/>
              </w:rPr>
            </w:pPr>
            <w:r>
              <w:rPr>
                <w:rFonts w:ascii="Times New Roman" w:cs="Times New Roman" w:eastAsia="Times New Roman" w:hAnsi="Times New Roman"/>
                <w:sz w:val="17"/>
                <w:szCs w:val="17"/>
                <w:color w:val="auto"/>
              </w:rPr>
              <w:t>4.3</w:t>
            </w:r>
          </w:p>
        </w:tc>
        <w:tc>
          <w:tcPr>
            <w:tcW w:w="118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7"/>
                <w:szCs w:val="17"/>
                <w:color w:val="auto"/>
              </w:rPr>
              <w:t>March 9, 2023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7"/>
                <w:szCs w:val="17"/>
                <w:color w:val="auto"/>
              </w:rPr>
              <w:t>4.3*</w:t>
            </w:r>
          </w:p>
        </w:tc>
        <w:tc>
          <w:tcPr>
            <w:tcW w:w="30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gridSpan w:val="2"/>
          </w:tcPr>
          <w:p>
            <w:pPr>
              <w:ind w:left="80"/>
              <w:spacing w:after="0"/>
              <w:rPr>
                <w:sz w:val="20"/>
                <w:szCs w:val="20"/>
                <w:color w:val="auto"/>
              </w:rPr>
            </w:pPr>
            <w:r>
              <w:rPr>
                <w:rFonts w:ascii="Times New Roman" w:cs="Times New Roman" w:eastAsia="Times New Roman" w:hAnsi="Times New Roman"/>
                <w:sz w:val="17"/>
                <w:szCs w:val="17"/>
                <w:color w:val="auto"/>
              </w:rPr>
              <w:t>Form of Note</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4.4*</w:t>
            </w:r>
          </w:p>
        </w:tc>
        <w:tc>
          <w:tcPr>
            <w:tcW w:w="30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Form of Warrant Agreement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4.5*</w:t>
            </w:r>
          </w:p>
        </w:tc>
        <w:tc>
          <w:tcPr>
            <w:tcW w:w="300" w:type="dxa"/>
            <w:vAlign w:val="bottom"/>
          </w:tcPr>
          <w:p>
            <w:pPr>
              <w:spacing w:after="0"/>
              <w:rPr>
                <w:sz w:val="18"/>
                <w:szCs w:val="18"/>
                <w:color w:val="auto"/>
              </w:rPr>
            </w:pP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Form of Unit Agreement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4.6*</w:t>
            </w:r>
          </w:p>
        </w:tc>
        <w:tc>
          <w:tcPr>
            <w:tcW w:w="30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Form of Subscription Rights Agreement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0000EE"/>
              </w:rPr>
              <w:t>5.</w:t>
            </w:r>
            <w:r>
              <w:rPr>
                <w:rFonts w:ascii="Times New Roman" w:cs="Times New Roman" w:eastAsia="Times New Roman" w:hAnsi="Times New Roman"/>
                <w:sz w:val="17"/>
                <w:szCs w:val="17"/>
                <w:u w:val="single" w:color="auto"/>
                <w:color w:val="0000EE"/>
              </w:rPr>
              <w:t>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7"/>
                <w:szCs w:val="17"/>
                <w:color w:val="auto"/>
              </w:rPr>
              <w:t>Opinion of A&amp;L Goodbody LLP, Irish counsel</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of GH Research PLC</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5.</w:t>
            </w:r>
            <w:r>
              <w:rPr>
                <w:rFonts w:ascii="Times New Roman" w:cs="Times New Roman" w:eastAsia="Times New Roman" w:hAnsi="Times New Roman"/>
                <w:sz w:val="17"/>
                <w:szCs w:val="17"/>
                <w:u w:val="single" w:color="auto"/>
                <w:color w:val="0000EE"/>
              </w:rPr>
              <w:t>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0" w:type="dxa"/>
            <w:vAlign w:val="bottom"/>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7"/>
                <w:szCs w:val="17"/>
                <w:color w:val="auto"/>
              </w:rPr>
              <w:t>Opinion of Davis Polk &amp; Wardwell LLP, U.S.</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340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counsel of GH Research PLC</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1</w:t>
            </w:r>
          </w:p>
        </w:tc>
        <w:tc>
          <w:tcPr>
            <w:tcW w:w="300" w:type="dxa"/>
            <w:vAlign w:val="bottom"/>
          </w:tcPr>
          <w:p>
            <w:pPr>
              <w:spacing w:after="0"/>
              <w:rPr>
                <w:sz w:val="15"/>
                <w:szCs w:val="15"/>
                <w:color w:val="auto"/>
              </w:rPr>
            </w:pPr>
          </w:p>
        </w:tc>
        <w:tc>
          <w:tcPr>
            <w:tcW w:w="340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7"/>
                <w:szCs w:val="17"/>
                <w:color w:val="auto"/>
              </w:rPr>
              <w:t>Consent of PricewaterhouseCoopers,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independent registered public accounting firm</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2</w:t>
            </w:r>
          </w:p>
        </w:tc>
        <w:tc>
          <w:tcPr>
            <w:tcW w:w="300" w:type="dxa"/>
            <w:vAlign w:val="bottom"/>
            <w:shd w:val="clear" w:color="auto" w:fill="CCEEFF"/>
          </w:tcPr>
          <w:p>
            <w:pPr>
              <w:spacing w:after="0"/>
              <w:rPr>
                <w:sz w:val="16"/>
                <w:szCs w:val="16"/>
                <w:color w:val="auto"/>
              </w:rPr>
            </w:pPr>
          </w:p>
        </w:tc>
        <w:tc>
          <w:tcPr>
            <w:tcW w:w="3400" w:type="dxa"/>
            <w:vAlign w:val="bottom"/>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7"/>
                <w:szCs w:val="17"/>
                <w:color w:val="auto"/>
              </w:rPr>
              <w:t>Consent of A&amp;L Goodbody LLP (included in</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340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exhibit 5.1)</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3</w:t>
            </w:r>
          </w:p>
        </w:tc>
        <w:tc>
          <w:tcPr>
            <w:tcW w:w="300" w:type="dxa"/>
            <w:vAlign w:val="bottom"/>
          </w:tcPr>
          <w:p>
            <w:pPr>
              <w:spacing w:after="0"/>
              <w:rPr>
                <w:sz w:val="15"/>
                <w:szCs w:val="15"/>
                <w:color w:val="auto"/>
              </w:rPr>
            </w:pPr>
          </w:p>
        </w:tc>
        <w:tc>
          <w:tcPr>
            <w:tcW w:w="340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7"/>
                <w:szCs w:val="17"/>
                <w:color w:val="auto"/>
              </w:rPr>
              <w:t>Consent of Davis Polk &amp; Wardwell LLP</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(included in exhibit 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24.</w:t>
            </w:r>
            <w:r>
              <w:rPr>
                <w:rFonts w:ascii="Times New Roman" w:cs="Times New Roman" w:eastAsia="Times New Roman" w:hAnsi="Times New Roman"/>
                <w:sz w:val="17"/>
                <w:szCs w:val="17"/>
                <w:u w:val="single" w:color="auto"/>
                <w:color w:val="0000EE"/>
              </w:rPr>
              <w:t>1</w:t>
            </w:r>
          </w:p>
        </w:tc>
        <w:tc>
          <w:tcPr>
            <w:tcW w:w="300" w:type="dxa"/>
            <w:vAlign w:val="bottom"/>
            <w:shd w:val="clear" w:color="auto" w:fill="CCEEFF"/>
          </w:tcPr>
          <w:p>
            <w:pPr>
              <w:spacing w:after="0"/>
              <w:rPr>
                <w:sz w:val="16"/>
                <w:szCs w:val="16"/>
                <w:color w:val="auto"/>
              </w:rPr>
            </w:pPr>
          </w:p>
        </w:tc>
        <w:tc>
          <w:tcPr>
            <w:tcW w:w="3400" w:type="dxa"/>
            <w:vAlign w:val="bottom"/>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7"/>
                <w:szCs w:val="17"/>
                <w:color w:val="auto"/>
              </w:rPr>
              <w:t>Powers of attorney (included on signature page</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340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 the registration statement)</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25.1**</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Statement of Eligibility on Form 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Borders>
              <w:bottom w:val="single" w:sz="8" w:color="0000EE"/>
            </w:tcBorders>
          </w:tcPr>
          <w:p>
            <w:pPr>
              <w:spacing w:after="0"/>
              <w:rPr>
                <w:sz w:val="16"/>
                <w:szCs w:val="16"/>
                <w:color w:val="auto"/>
              </w:rPr>
            </w:pPr>
          </w:p>
        </w:tc>
        <w:tc>
          <w:tcPr>
            <w:tcW w:w="340" w:type="dxa"/>
            <w:vAlign w:val="bottom"/>
            <w:tcBorders>
              <w:bottom w:val="single" w:sz="8" w:color="0000EE"/>
            </w:tcBorders>
            <w:gridSpan w:val="3"/>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83"/>
              </w:rPr>
              <w:t>107.</w:t>
            </w:r>
            <w:r>
              <w:rPr>
                <w:rFonts w:ascii="Times New Roman" w:cs="Times New Roman" w:eastAsia="Times New Roman" w:hAnsi="Times New Roman"/>
                <w:sz w:val="17"/>
                <w:szCs w:val="17"/>
                <w:u w:val="single" w:color="auto"/>
                <w:color w:val="0000EE"/>
                <w:w w:val="83"/>
              </w:rPr>
              <w:t>1</w:t>
            </w:r>
          </w:p>
        </w:tc>
        <w:tc>
          <w:tcPr>
            <w:tcW w:w="300" w:type="dxa"/>
            <w:vAlign w:val="bottom"/>
            <w:tcBorders>
              <w:bottom w:val="single" w:sz="8" w:color="CCEEFF"/>
            </w:tcBorders>
            <w:shd w:val="clear" w:color="auto" w:fill="CCEEFF"/>
          </w:tcPr>
          <w:p>
            <w:pPr>
              <w:spacing w:after="0"/>
              <w:rPr>
                <w:sz w:val="16"/>
                <w:szCs w:val="16"/>
                <w:color w:val="auto"/>
              </w:rPr>
            </w:pPr>
          </w:p>
        </w:tc>
        <w:tc>
          <w:tcPr>
            <w:tcW w:w="3400" w:type="dxa"/>
            <w:vAlign w:val="bottom"/>
            <w:tcBorders>
              <w:bottom w:val="single" w:sz="8" w:color="CCEEFF"/>
            </w:tcBorders>
            <w:gridSpan w:val="2"/>
            <w:shd w:val="clear" w:color="auto" w:fill="CCEEFF"/>
          </w:tcPr>
          <w:p>
            <w:pPr>
              <w:ind w:left="80"/>
              <w:spacing w:after="0" w:line="185" w:lineRule="exact"/>
              <w:rPr>
                <w:sz w:val="20"/>
                <w:szCs w:val="20"/>
                <w:color w:val="auto"/>
              </w:rPr>
            </w:pPr>
            <w:r>
              <w:rPr>
                <w:rFonts w:ascii="Times New Roman" w:cs="Times New Roman" w:eastAsia="Times New Roman" w:hAnsi="Times New Roman"/>
                <w:sz w:val="17"/>
                <w:szCs w:val="17"/>
                <w:color w:val="auto"/>
              </w:rPr>
              <w:t>Calculation of Filing Fee Table</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143510</wp:posOffset>
            </wp:positionV>
            <wp:extent cx="7645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48" w:lineRule="exact"/>
        <w:rPr>
          <w:sz w:val="20"/>
          <w:szCs w:val="20"/>
          <w:color w:val="auto"/>
        </w:rPr>
      </w:pPr>
    </w:p>
    <w:p>
      <w:pPr>
        <w:ind w:left="920" w:right="599" w:hanging="328"/>
        <w:spacing w:after="0" w:line="259" w:lineRule="auto"/>
        <w:tabs>
          <w:tab w:leader="none" w:pos="9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filed by amendment or as an exhibit to a document to be incorporated by reference herein in connection with an offering of the offered securities.</w:t>
      </w:r>
    </w:p>
    <w:p>
      <w:pPr>
        <w:spacing w:after="0" w:line="3" w:lineRule="exact"/>
        <w:rPr>
          <w:sz w:val="20"/>
          <w:szCs w:val="20"/>
          <w:color w:val="auto"/>
        </w:rPr>
      </w:pPr>
    </w:p>
    <w:p>
      <w:pPr>
        <w:ind w:left="920" w:hanging="328"/>
        <w:spacing w:after="0"/>
        <w:tabs>
          <w:tab w:leader="none" w:pos="9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filed in accordance with the requirements of Section 305(b)(2) of the Trust Indenture Act.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117475</wp:posOffset>
            </wp:positionV>
            <wp:extent cx="649732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49" w:name="page50"/>
    <w:bookmarkEnd w:id="49"/>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09" w:lineRule="exact"/>
        <w:rPr>
          <w:sz w:val="20"/>
          <w:szCs w:val="20"/>
          <w:color w:val="auto"/>
        </w:rPr>
      </w:pPr>
    </w:p>
    <w:p>
      <w:pPr>
        <w:jc w:val="both"/>
        <w:ind w:left="600" w:right="599" w:firstLine="334"/>
        <w:spacing w:after="0" w:line="26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or the Securities Act, the registrant certifies that it has reasonable grounds to believe that it meets all of the requirements for filing on Form F-3 and has duly caused this registration statement to be signed on its behalf by the undersigned, thereunto duly authorized, in the City of Dublin, Ireland, on the 14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xml:space="preserve"> day of May, 2026.</w:t>
      </w:r>
    </w:p>
    <w:p>
      <w:pPr>
        <w:spacing w:after="0" w:line="6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color w:val="auto"/>
        </w:rPr>
        <w:t>GH RESEARCH PLC</w:t>
      </w:r>
    </w:p>
    <w:p>
      <w:pPr>
        <w:spacing w:after="0" w:line="256" w:lineRule="exact"/>
        <w:rPr>
          <w:sz w:val="20"/>
          <w:szCs w:val="20"/>
          <w:color w:val="auto"/>
        </w:rPr>
      </w:pPr>
    </w:p>
    <w:p>
      <w:pPr>
        <w:ind w:left="4320"/>
        <w:spacing w:after="0"/>
        <w:tabs>
          <w:tab w:leader="none" w:pos="4760" w:val="left"/>
        </w:tabs>
        <w:rPr>
          <w:sz w:val="20"/>
          <w:szCs w:val="20"/>
          <w:color w:val="auto"/>
        </w:rPr>
      </w:pPr>
      <w:r>
        <w:rPr>
          <w:rFonts w:ascii="Times New Roman" w:cs="Times New Roman" w:eastAsia="Times New Roman" w:hAnsi="Times New Roman"/>
          <w:sz w:val="17"/>
          <w:szCs w:val="17"/>
          <w:color w:val="auto"/>
        </w:rPr>
        <w:t>By:</w:t>
        <w:tab/>
        <w:t>/s/ Velichka Valcheva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29845</wp:posOffset>
            </wp:positionV>
            <wp:extent cx="2308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2308860" cy="8255"/>
                    </a:xfrm>
                    <a:prstGeom prst="rect">
                      <a:avLst/>
                    </a:prstGeom>
                    <a:noFill/>
                  </pic:spPr>
                </pic:pic>
              </a:graphicData>
            </a:graphic>
          </wp:anchor>
        </w:drawing>
      </w:r>
    </w:p>
    <w:p>
      <w:pPr>
        <w:spacing w:after="0" w:line="48" w:lineRule="exact"/>
        <w:rPr>
          <w:sz w:val="20"/>
          <w:szCs w:val="20"/>
          <w:color w:val="auto"/>
        </w:rPr>
      </w:pPr>
    </w:p>
    <w:p>
      <w:pPr>
        <w:ind w:left="4780"/>
        <w:spacing w:after="0"/>
        <w:tabs>
          <w:tab w:leader="none" w:pos="5420" w:val="left"/>
        </w:tabs>
        <w:rPr>
          <w:sz w:val="20"/>
          <w:szCs w:val="20"/>
          <w:color w:val="auto"/>
        </w:rPr>
      </w:pPr>
      <w:r>
        <w:rPr>
          <w:rFonts w:ascii="Times New Roman" w:cs="Times New Roman" w:eastAsia="Times New Roman" w:hAnsi="Times New Roman"/>
          <w:sz w:val="17"/>
          <w:szCs w:val="17"/>
          <w:color w:val="auto"/>
        </w:rPr>
        <w:t>Name:</w:t>
        <w:tab/>
        <w:t>Velichka Valcheva</w:t>
      </w:r>
    </w:p>
    <w:p>
      <w:pPr>
        <w:spacing w:after="0" w:line="30" w:lineRule="exact"/>
        <w:rPr>
          <w:sz w:val="20"/>
          <w:szCs w:val="20"/>
          <w:color w:val="auto"/>
        </w:rPr>
      </w:pPr>
    </w:p>
    <w:p>
      <w:pPr>
        <w:ind w:left="4780"/>
        <w:spacing w:after="0"/>
        <w:tabs>
          <w:tab w:leader="none" w:pos="54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56" w:lineRule="exact"/>
        <w:rPr>
          <w:sz w:val="20"/>
          <w:szCs w:val="20"/>
          <w:color w:val="auto"/>
        </w:rPr>
      </w:pPr>
    </w:p>
    <w:p>
      <w:pPr>
        <w:ind w:left="4320"/>
        <w:spacing w:after="0"/>
        <w:tabs>
          <w:tab w:leader="none" w:pos="4760" w:val="left"/>
        </w:tabs>
        <w:rPr>
          <w:sz w:val="20"/>
          <w:szCs w:val="20"/>
          <w:color w:val="auto"/>
        </w:rPr>
      </w:pPr>
      <w:r>
        <w:rPr>
          <w:rFonts w:ascii="Times New Roman" w:cs="Times New Roman" w:eastAsia="Times New Roman" w:hAnsi="Times New Roman"/>
          <w:sz w:val="17"/>
          <w:szCs w:val="17"/>
          <w:color w:val="auto"/>
        </w:rPr>
        <w:t>By:</w:t>
        <w:tab/>
        <w:t>/s/ Julie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29845</wp:posOffset>
            </wp:positionV>
            <wp:extent cx="2308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2308860" cy="8255"/>
                    </a:xfrm>
                    <a:prstGeom prst="rect">
                      <a:avLst/>
                    </a:prstGeom>
                    <a:noFill/>
                  </pic:spPr>
                </pic:pic>
              </a:graphicData>
            </a:graphic>
          </wp:anchor>
        </w:drawing>
      </w:r>
    </w:p>
    <w:p>
      <w:pPr>
        <w:spacing w:after="0" w:line="48" w:lineRule="exact"/>
        <w:rPr>
          <w:sz w:val="20"/>
          <w:szCs w:val="20"/>
          <w:color w:val="auto"/>
        </w:rPr>
      </w:pPr>
    </w:p>
    <w:p>
      <w:pPr>
        <w:ind w:left="4780"/>
        <w:spacing w:after="0"/>
        <w:tabs>
          <w:tab w:leader="none" w:pos="5420" w:val="left"/>
        </w:tabs>
        <w:rPr>
          <w:sz w:val="20"/>
          <w:szCs w:val="20"/>
          <w:color w:val="auto"/>
        </w:rPr>
      </w:pPr>
      <w:r>
        <w:rPr>
          <w:rFonts w:ascii="Times New Roman" w:cs="Times New Roman" w:eastAsia="Times New Roman" w:hAnsi="Times New Roman"/>
          <w:sz w:val="17"/>
          <w:szCs w:val="17"/>
          <w:color w:val="auto"/>
        </w:rPr>
        <w:t>Name:</w:t>
        <w:tab/>
        <w:t>Julie Ryan</w:t>
      </w:r>
    </w:p>
    <w:p>
      <w:pPr>
        <w:spacing w:after="0" w:line="30" w:lineRule="exact"/>
        <w:rPr>
          <w:sz w:val="20"/>
          <w:szCs w:val="20"/>
          <w:color w:val="auto"/>
        </w:rPr>
      </w:pPr>
    </w:p>
    <w:p>
      <w:pPr>
        <w:ind w:left="4780"/>
        <w:spacing w:after="0"/>
        <w:tabs>
          <w:tab w:leader="none" w:pos="54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Vice President, Finance</w:t>
      </w:r>
    </w:p>
    <w:p>
      <w:pPr>
        <w:spacing w:after="0" w:line="156" w:lineRule="exact"/>
        <w:rPr>
          <w:sz w:val="20"/>
          <w:szCs w:val="20"/>
          <w:color w:val="auto"/>
        </w:rPr>
      </w:pPr>
    </w:p>
    <w:p>
      <w:pPr>
        <w:jc w:val="both"/>
        <w:ind w:left="600" w:right="599" w:firstLine="334"/>
        <w:spacing w:after="0" w:line="248"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hereby constitutes and appoints Velichka Valcheva and Julie Ryan and each of them, individually, as his or her true and lawful attorneys-in-fact and agents,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Securities Act,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may lawfully do or cause to be done by virtue hereof.</w:t>
      </w:r>
    </w:p>
    <w:p>
      <w:pPr>
        <w:spacing w:after="0" w:line="85" w:lineRule="exact"/>
        <w:rPr>
          <w:sz w:val="20"/>
          <w:szCs w:val="20"/>
          <w:color w:val="auto"/>
        </w:rPr>
      </w:pPr>
    </w:p>
    <w:p>
      <w:pPr>
        <w:jc w:val="both"/>
        <w:ind w:left="600" w:right="599" w:firstLine="334"/>
        <w:spacing w:after="0" w:line="272" w:lineRule="auto"/>
        <w:rPr>
          <w:sz w:val="20"/>
          <w:szCs w:val="20"/>
          <w:color w:val="auto"/>
        </w:rPr>
      </w:pPr>
      <w:r>
        <w:rPr>
          <w:rFonts w:ascii="Times New Roman" w:cs="Times New Roman" w:eastAsia="Times New Roman" w:hAnsi="Times New Roman"/>
          <w:sz w:val="17"/>
          <w:szCs w:val="17"/>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600" w:type="dxa"/>
        <w:tblCellMar>
          <w:top w:w="0" w:type="dxa"/>
          <w:left w:w="0" w:type="dxa"/>
          <w:bottom w:w="0" w:type="dxa"/>
          <w:right w:w="0" w:type="dxa"/>
        </w:tblCellMar>
      </w:tblPr>
      <w:tr>
        <w:trPr>
          <w:trHeight w:val="177"/>
        </w:trPr>
        <w:tc>
          <w:tcPr>
            <w:tcW w:w="2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200" w:type="dxa"/>
            <w:vAlign w:val="bottom"/>
          </w:tcPr>
          <w:p>
            <w:pPr>
              <w:spacing w:after="0"/>
              <w:rPr>
                <w:sz w:val="15"/>
                <w:szCs w:val="15"/>
                <w:color w:val="auto"/>
              </w:rPr>
            </w:pPr>
          </w:p>
        </w:tc>
        <w:tc>
          <w:tcPr>
            <w:tcW w:w="3820" w:type="dxa"/>
            <w:vAlign w:val="bottom"/>
          </w:tcPr>
          <w:p>
            <w:pPr>
              <w:ind w:left="178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00" w:type="dxa"/>
            <w:vAlign w:val="bottom"/>
          </w:tcPr>
          <w:p>
            <w:pPr>
              <w:spacing w:after="0"/>
              <w:rPr>
                <w:sz w:val="15"/>
                <w:szCs w:val="15"/>
                <w:color w:val="auto"/>
              </w:rPr>
            </w:pPr>
          </w:p>
        </w:tc>
        <w:tc>
          <w:tcPr>
            <w:tcW w:w="1600" w:type="dxa"/>
            <w:vAlign w:val="bottom"/>
          </w:tcPr>
          <w:p>
            <w:pPr>
              <w:jc w:val="right"/>
              <w:ind w:right="613"/>
              <w:spacing w:after="0"/>
              <w:rPr>
                <w:sz w:val="20"/>
                <w:szCs w:val="20"/>
                <w:color w:val="auto"/>
              </w:rPr>
            </w:pPr>
            <w:r>
              <w:rPr>
                <w:rFonts w:ascii="Times New Roman" w:cs="Times New Roman" w:eastAsia="Times New Roman" w:hAnsi="Times New Roman"/>
                <w:sz w:val="13"/>
                <w:szCs w:val="13"/>
                <w:b w:val="1"/>
                <w:bCs w:val="1"/>
                <w:color w:val="auto"/>
              </w:rPr>
              <w:t>Date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3"/>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Velichka Valcheva</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Chief Executive Officer (Principal Executive Officer)</w:t>
            </w:r>
          </w:p>
        </w:tc>
        <w:tc>
          <w:tcPr>
            <w:tcW w:w="1800" w:type="dxa"/>
            <w:vAlign w:val="bottom"/>
            <w:gridSpan w:val="2"/>
          </w:tcPr>
          <w:p>
            <w:pPr>
              <w:jc w:val="right"/>
              <w:ind w:right="613"/>
              <w:spacing w:after="0"/>
              <w:rPr>
                <w:sz w:val="20"/>
                <w:szCs w:val="20"/>
                <w:color w:val="auto"/>
              </w:rPr>
            </w:pPr>
            <w:r>
              <w:rPr>
                <w:rFonts w:ascii="Times New Roman" w:cs="Times New Roman" w:eastAsia="Times New Roman" w:hAnsi="Times New Roman"/>
                <w:sz w:val="17"/>
                <w:szCs w:val="17"/>
                <w:color w:val="auto"/>
              </w:rPr>
              <w:t>May 14, 2026</w:t>
            </w:r>
          </w:p>
        </w:tc>
        <w:tc>
          <w:tcPr>
            <w:tcW w:w="0" w:type="dxa"/>
            <w:vAlign w:val="bottom"/>
          </w:tcPr>
          <w:p>
            <w:pPr>
              <w:spacing w:after="0"/>
              <w:rPr>
                <w:sz w:val="1"/>
                <w:szCs w:val="1"/>
                <w:color w:val="auto"/>
              </w:rPr>
            </w:pPr>
          </w:p>
        </w:tc>
      </w:tr>
      <w:tr>
        <w:trPr>
          <w:trHeight w:val="224"/>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Velichka Valcheva</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/s/ Julie Ryan</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Vice President, Finance (Principal Financial Officer and</w:t>
            </w:r>
          </w:p>
        </w:tc>
        <w:tc>
          <w:tcPr>
            <w:tcW w:w="1800" w:type="dxa"/>
            <w:vAlign w:val="bottom"/>
            <w:gridSpan w:val="2"/>
          </w:tcPr>
          <w:p>
            <w:pPr>
              <w:jc w:val="right"/>
              <w:ind w:right="613"/>
              <w:spacing w:after="0"/>
              <w:rPr>
                <w:sz w:val="20"/>
                <w:szCs w:val="20"/>
                <w:color w:val="auto"/>
              </w:rPr>
            </w:pPr>
            <w:r>
              <w:rPr>
                <w:rFonts w:ascii="Times New Roman" w:cs="Times New Roman" w:eastAsia="Times New Roman" w:hAnsi="Times New Roman"/>
                <w:sz w:val="17"/>
                <w:szCs w:val="17"/>
                <w:color w:val="auto"/>
              </w:rPr>
              <w:t>May 14, 2026</w:t>
            </w:r>
          </w:p>
        </w:tc>
        <w:tc>
          <w:tcPr>
            <w:tcW w:w="0" w:type="dxa"/>
            <w:vAlign w:val="bottom"/>
          </w:tcPr>
          <w:p>
            <w:pPr>
              <w:spacing w:after="0"/>
              <w:rPr>
                <w:sz w:val="1"/>
                <w:szCs w:val="1"/>
                <w:color w:val="auto"/>
              </w:rPr>
            </w:pPr>
          </w:p>
        </w:tc>
      </w:tr>
      <w:tr>
        <w:trPr>
          <w:trHeight w:val="42"/>
        </w:trPr>
        <w:tc>
          <w:tcPr>
            <w:tcW w:w="2000" w:type="dxa"/>
            <w:vAlign w:val="bottom"/>
            <w:tcBorders>
              <w:bottom w:val="single" w:sz="8" w:color="auto"/>
            </w:tcBorders>
          </w:tcPr>
          <w:p>
            <w:pPr>
              <w:spacing w:after="0"/>
              <w:rPr>
                <w:sz w:val="3"/>
                <w:szCs w:val="3"/>
                <w:color w:val="auto"/>
              </w:rPr>
            </w:pPr>
          </w:p>
        </w:tc>
        <w:tc>
          <w:tcPr>
            <w:tcW w:w="4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Julie Ryan</w:t>
            </w:r>
          </w:p>
        </w:tc>
        <w:tc>
          <w:tcPr>
            <w:tcW w:w="40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0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0"/>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Florian Schönharting</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1800" w:type="dxa"/>
            <w:vAlign w:val="bottom"/>
            <w:gridSpan w:val="2"/>
          </w:tcPr>
          <w:p>
            <w:pPr>
              <w:jc w:val="right"/>
              <w:ind w:right="613"/>
              <w:spacing w:after="0"/>
              <w:rPr>
                <w:sz w:val="20"/>
                <w:szCs w:val="20"/>
                <w:color w:val="auto"/>
              </w:rPr>
            </w:pPr>
            <w:r>
              <w:rPr>
                <w:rFonts w:ascii="Times New Roman" w:cs="Times New Roman" w:eastAsia="Times New Roman" w:hAnsi="Times New Roman"/>
                <w:sz w:val="17"/>
                <w:szCs w:val="17"/>
                <w:color w:val="auto"/>
              </w:rPr>
              <w:t>May 14, 2026</w:t>
            </w:r>
          </w:p>
        </w:tc>
        <w:tc>
          <w:tcPr>
            <w:tcW w:w="0" w:type="dxa"/>
            <w:vAlign w:val="bottom"/>
          </w:tcPr>
          <w:p>
            <w:pPr>
              <w:spacing w:after="0"/>
              <w:rPr>
                <w:sz w:val="1"/>
                <w:szCs w:val="1"/>
                <w:color w:val="auto"/>
              </w:rPr>
            </w:pPr>
          </w:p>
        </w:tc>
      </w:tr>
      <w:tr>
        <w:trPr>
          <w:trHeight w:val="224"/>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Florian Schönharting</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0"/>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Forer</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1800" w:type="dxa"/>
            <w:vAlign w:val="bottom"/>
            <w:gridSpan w:val="2"/>
          </w:tcPr>
          <w:p>
            <w:pPr>
              <w:jc w:val="right"/>
              <w:ind w:right="613"/>
              <w:spacing w:after="0"/>
              <w:rPr>
                <w:sz w:val="20"/>
                <w:szCs w:val="20"/>
                <w:color w:val="auto"/>
              </w:rPr>
            </w:pPr>
            <w:r>
              <w:rPr>
                <w:rFonts w:ascii="Times New Roman" w:cs="Times New Roman" w:eastAsia="Times New Roman" w:hAnsi="Times New Roman"/>
                <w:sz w:val="17"/>
                <w:szCs w:val="17"/>
                <w:color w:val="auto"/>
              </w:rPr>
              <w:t>May 14, 2026</w:t>
            </w:r>
          </w:p>
        </w:tc>
        <w:tc>
          <w:tcPr>
            <w:tcW w:w="0" w:type="dxa"/>
            <w:vAlign w:val="bottom"/>
          </w:tcPr>
          <w:p>
            <w:pPr>
              <w:spacing w:after="0"/>
              <w:rPr>
                <w:sz w:val="1"/>
                <w:szCs w:val="1"/>
                <w:color w:val="auto"/>
              </w:rPr>
            </w:pPr>
          </w:p>
        </w:tc>
      </w:tr>
      <w:tr>
        <w:trPr>
          <w:trHeight w:val="224"/>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Michael Forer</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0"/>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Dermot Hanley</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1800" w:type="dxa"/>
            <w:vAlign w:val="bottom"/>
            <w:gridSpan w:val="2"/>
          </w:tcPr>
          <w:p>
            <w:pPr>
              <w:jc w:val="right"/>
              <w:ind w:right="613"/>
              <w:spacing w:after="0"/>
              <w:rPr>
                <w:sz w:val="20"/>
                <w:szCs w:val="20"/>
                <w:color w:val="auto"/>
              </w:rPr>
            </w:pPr>
            <w:r>
              <w:rPr>
                <w:rFonts w:ascii="Times New Roman" w:cs="Times New Roman" w:eastAsia="Times New Roman" w:hAnsi="Times New Roman"/>
                <w:sz w:val="17"/>
                <w:szCs w:val="17"/>
                <w:color w:val="auto"/>
              </w:rPr>
              <w:t>May 14, 2026</w:t>
            </w:r>
          </w:p>
        </w:tc>
        <w:tc>
          <w:tcPr>
            <w:tcW w:w="0" w:type="dxa"/>
            <w:vAlign w:val="bottom"/>
          </w:tcPr>
          <w:p>
            <w:pPr>
              <w:spacing w:after="0"/>
              <w:rPr>
                <w:sz w:val="1"/>
                <w:szCs w:val="1"/>
                <w:color w:val="auto"/>
              </w:rPr>
            </w:pPr>
          </w:p>
        </w:tc>
      </w:tr>
      <w:tr>
        <w:trPr>
          <w:trHeight w:val="224"/>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Dermot Hanley</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0"/>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Duncan Moore</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1800" w:type="dxa"/>
            <w:vAlign w:val="bottom"/>
            <w:gridSpan w:val="2"/>
          </w:tcPr>
          <w:p>
            <w:pPr>
              <w:jc w:val="right"/>
              <w:ind w:right="613"/>
              <w:spacing w:after="0"/>
              <w:rPr>
                <w:sz w:val="20"/>
                <w:szCs w:val="20"/>
                <w:color w:val="auto"/>
              </w:rPr>
            </w:pPr>
            <w:r>
              <w:rPr>
                <w:rFonts w:ascii="Times New Roman" w:cs="Times New Roman" w:eastAsia="Times New Roman" w:hAnsi="Times New Roman"/>
                <w:sz w:val="17"/>
                <w:szCs w:val="17"/>
                <w:color w:val="auto"/>
              </w:rPr>
              <w:t>May 14, 2026</w:t>
            </w:r>
          </w:p>
        </w:tc>
        <w:tc>
          <w:tcPr>
            <w:tcW w:w="0" w:type="dxa"/>
            <w:vAlign w:val="bottom"/>
          </w:tcPr>
          <w:p>
            <w:pPr>
              <w:spacing w:after="0"/>
              <w:rPr>
                <w:sz w:val="1"/>
                <w:szCs w:val="1"/>
                <w:color w:val="auto"/>
              </w:rPr>
            </w:pPr>
          </w:p>
        </w:tc>
      </w:tr>
      <w:tr>
        <w:trPr>
          <w:trHeight w:val="224"/>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Duncan Moore</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117475</wp:posOffset>
            </wp:positionV>
            <wp:extent cx="649732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6497320" cy="1587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50" w:name="page51"/>
    <w:bookmarkEnd w:id="50"/>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 OF AUTHORIZED REPRESENTATIVE IN THE UNITED STATES</w:t>
      </w:r>
    </w:p>
    <w:p>
      <w:pPr>
        <w:spacing w:after="0" w:line="109" w:lineRule="exact"/>
        <w:rPr>
          <w:sz w:val="20"/>
          <w:szCs w:val="20"/>
          <w:color w:val="auto"/>
        </w:rPr>
      </w:pPr>
    </w:p>
    <w:p>
      <w:pPr>
        <w:ind w:left="600" w:right="619" w:firstLine="334"/>
        <w:spacing w:after="0" w:line="272" w:lineRule="auto"/>
        <w:rPr>
          <w:sz w:val="20"/>
          <w:szCs w:val="20"/>
          <w:color w:val="auto"/>
        </w:rPr>
      </w:pPr>
      <w:r>
        <w:rPr>
          <w:rFonts w:ascii="Times New Roman" w:cs="Times New Roman" w:eastAsia="Times New Roman" w:hAnsi="Times New Roman"/>
          <w:sz w:val="17"/>
          <w:szCs w:val="17"/>
          <w:color w:val="auto"/>
        </w:rPr>
        <w:t>Pursuant to the Securities Act of 1933, as amended, the undersigned, the duly authorized representative in the United States of America, has signed this registration statement thereto in New York, NY on May 14, 2026.</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b w:val="1"/>
          <w:bCs w:val="1"/>
          <w:color w:val="auto"/>
        </w:rPr>
        <w:t>Authorized U.S. Representative--Cogency Global Inc.</w:t>
      </w:r>
    </w:p>
    <w:p>
      <w:pPr>
        <w:spacing w:after="0" w:line="260" w:lineRule="exact"/>
        <w:rPr>
          <w:sz w:val="20"/>
          <w:szCs w:val="20"/>
          <w:color w:val="auto"/>
        </w:rPr>
      </w:pPr>
    </w:p>
    <w:p>
      <w:pPr>
        <w:ind w:left="3960"/>
        <w:spacing w:after="0"/>
        <w:tabs>
          <w:tab w:leader="none" w:pos="4400" w:val="left"/>
        </w:tabs>
        <w:rPr>
          <w:sz w:val="20"/>
          <w:szCs w:val="20"/>
          <w:color w:val="auto"/>
        </w:rPr>
      </w:pPr>
      <w:r>
        <w:rPr>
          <w:rFonts w:ascii="Times New Roman" w:cs="Times New Roman" w:eastAsia="Times New Roman" w:hAnsi="Times New Roman"/>
          <w:sz w:val="17"/>
          <w:szCs w:val="17"/>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29845</wp:posOffset>
            </wp:positionV>
            <wp:extent cx="25400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2540000" cy="8255"/>
                    </a:xfrm>
                    <a:prstGeom prst="rect">
                      <a:avLst/>
                    </a:prstGeom>
                    <a:noFill/>
                  </pic:spPr>
                </pic:pic>
              </a:graphicData>
            </a:graphic>
          </wp:anchor>
        </w:drawing>
      </w:r>
    </w:p>
    <w:p>
      <w:pPr>
        <w:spacing w:after="0" w:line="4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Name: Colleen A. De Vries</w:t>
      </w:r>
    </w:p>
    <w:p>
      <w:pPr>
        <w:spacing w:after="0" w:line="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Title: Senior Vice-President on behalf of</w:t>
      </w:r>
    </w:p>
    <w:p>
      <w:pPr>
        <w:spacing w:after="0" w:line="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Cogency Global Inc.</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II-6</w:t>
      </w:r>
    </w:p>
    <w:p>
      <w:pPr>
        <w:sectPr>
          <w:pgSz w:w="11900" w:h="16838" w:orient="portrait"/>
          <w:cols w:equalWidth="0" w:num="1">
            <w:col w:w="9019"/>
          </w:cols>
          <w:pgMar w:left="1440" w:top="253" w:right="1440" w:bottom="1440" w:gutter="0" w:footer="0" w:header="0"/>
        </w:sectPr>
      </w:pPr>
    </w:p>
    <w:bookmarkStart w:id="51" w:name="page52"/>
    <w:bookmarkEnd w:id="51"/>
    <w:tbl>
      <w:tblPr>
        <w:tblLayout w:type="fixed"/>
        <w:tblInd w:w="5740" w:type="dxa"/>
        <w:tblCellMar>
          <w:top w:w="0" w:type="dxa"/>
          <w:left w:w="0" w:type="dxa"/>
          <w:bottom w:w="0" w:type="dxa"/>
          <w:right w:w="0" w:type="dxa"/>
        </w:tblCellMar>
      </w:tblPr>
      <w:tr>
        <w:trPr>
          <w:trHeight w:val="221"/>
        </w:trPr>
        <w:tc>
          <w:tcPr>
            <w:tcW w:w="33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tc>
        <w:tc>
          <w:tcPr>
            <w:tcW w:w="0" w:type="dxa"/>
            <w:vAlign w:val="bottom"/>
          </w:tcPr>
          <w:p>
            <w:pPr>
              <w:spacing w:after="0"/>
              <w:rPr>
                <w:sz w:val="1"/>
                <w:szCs w:val="1"/>
                <w:color w:val="auto"/>
              </w:rPr>
            </w:pPr>
          </w:p>
        </w:tc>
      </w:tr>
      <w:tr>
        <w:trPr>
          <w:trHeight w:val="401"/>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color w:val="333333"/>
              </w:rPr>
              <w:t>A&amp;L Goodbody Solicitors</w:t>
            </w: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Dublin</w:t>
            </w:r>
          </w:p>
        </w:tc>
        <w:tc>
          <w:tcPr>
            <w:tcW w:w="0" w:type="dxa"/>
            <w:vAlign w:val="bottom"/>
          </w:tcPr>
          <w:p>
            <w:pPr>
              <w:spacing w:after="0"/>
              <w:rPr>
                <w:sz w:val="1"/>
                <w:szCs w:val="1"/>
                <w:color w:val="auto"/>
              </w:rPr>
            </w:pPr>
          </w:p>
        </w:tc>
      </w:tr>
      <w:tr>
        <w:trPr>
          <w:trHeight w:val="150"/>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333333"/>
              </w:rPr>
              <w:t>25 North Wall Quay</w:t>
            </w:r>
          </w:p>
        </w:tc>
        <w:tc>
          <w:tcPr>
            <w:tcW w:w="218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Belfast</w:t>
            </w:r>
          </w:p>
        </w:tc>
        <w:tc>
          <w:tcPr>
            <w:tcW w:w="0" w:type="dxa"/>
            <w:vAlign w:val="bottom"/>
          </w:tcPr>
          <w:p>
            <w:pPr>
              <w:spacing w:after="0"/>
              <w:rPr>
                <w:sz w:val="1"/>
                <w:szCs w:val="1"/>
                <w:color w:val="auto"/>
              </w:rPr>
            </w:pPr>
          </w:p>
        </w:tc>
      </w:tr>
      <w:tr>
        <w:trPr>
          <w:trHeight w:val="130"/>
        </w:trPr>
        <w:tc>
          <w:tcPr>
            <w:tcW w:w="3320" w:type="dxa"/>
            <w:vAlign w:val="bottom"/>
          </w:tcPr>
          <w:p>
            <w:pPr>
              <w:spacing w:after="0" w:line="131" w:lineRule="exact"/>
              <w:rPr>
                <w:sz w:val="20"/>
                <w:szCs w:val="20"/>
                <w:color w:val="auto"/>
              </w:rPr>
            </w:pPr>
            <w:r>
              <w:rPr>
                <w:rFonts w:ascii="Times New Roman" w:cs="Times New Roman" w:eastAsia="Times New Roman" w:hAnsi="Times New Roman"/>
                <w:sz w:val="13"/>
                <w:szCs w:val="13"/>
                <w:color w:val="333333"/>
              </w:rPr>
              <w:t>Dublin 1</w:t>
            </w:r>
          </w:p>
        </w:tc>
        <w:tc>
          <w:tcPr>
            <w:tcW w:w="2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London</w:t>
            </w:r>
          </w:p>
        </w:tc>
        <w:tc>
          <w:tcPr>
            <w:tcW w:w="0" w:type="dxa"/>
            <w:vAlign w:val="bottom"/>
          </w:tcPr>
          <w:p>
            <w:pPr>
              <w:spacing w:after="0"/>
              <w:rPr>
                <w:sz w:val="1"/>
                <w:szCs w:val="1"/>
                <w:color w:val="auto"/>
              </w:rPr>
            </w:pPr>
          </w:p>
        </w:tc>
      </w:tr>
      <w:tr>
        <w:trPr>
          <w:trHeight w:val="133"/>
        </w:trPr>
        <w:tc>
          <w:tcPr>
            <w:tcW w:w="33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333333"/>
              </w:rPr>
              <w:t>D01 H104</w:t>
            </w:r>
          </w:p>
        </w:tc>
        <w:tc>
          <w:tcPr>
            <w:tcW w:w="2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3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333333"/>
              </w:rPr>
              <w:t>T +353 1 649 2000</w:t>
            </w:r>
          </w:p>
        </w:tc>
        <w:tc>
          <w:tcPr>
            <w:tcW w:w="2180" w:type="dxa"/>
            <w:vAlign w:val="bottom"/>
          </w:tcPr>
          <w:p>
            <w:pPr>
              <w:jc w:val="right"/>
              <w:spacing w:after="0" w:line="143" w:lineRule="exact"/>
              <w:rPr>
                <w:sz w:val="20"/>
                <w:szCs w:val="20"/>
                <w:color w:val="auto"/>
              </w:rPr>
            </w:pPr>
            <w:r>
              <w:rPr>
                <w:rFonts w:ascii="Times New Roman" w:cs="Times New Roman" w:eastAsia="Times New Roman" w:hAnsi="Times New Roman"/>
                <w:sz w:val="16"/>
                <w:szCs w:val="16"/>
                <w:color w:val="auto"/>
              </w:rPr>
              <w:t>New York</w:t>
            </w:r>
          </w:p>
        </w:tc>
        <w:tc>
          <w:tcPr>
            <w:tcW w:w="0" w:type="dxa"/>
            <w:vAlign w:val="bottom"/>
          </w:tcPr>
          <w:p>
            <w:pPr>
              <w:spacing w:after="0"/>
              <w:rPr>
                <w:sz w:val="1"/>
                <w:szCs w:val="1"/>
                <w:color w:val="auto"/>
              </w:rPr>
            </w:pPr>
          </w:p>
        </w:tc>
      </w:tr>
      <w:tr>
        <w:trPr>
          <w:trHeight w:val="246"/>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333333"/>
              </w:rPr>
              <w:t>Dx: 29 Dublin | www.algoodbody.com</w:t>
            </w: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San Francisco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1845" cy="317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41845" cy="31750"/>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-636270</wp:posOffset>
            </wp:positionV>
            <wp:extent cx="15875" cy="636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15875" cy="636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-436880</wp:posOffset>
            </wp:positionV>
            <wp:extent cx="1592580" cy="2387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1592580" cy="23876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Date</w:t>
            </w:r>
          </w:p>
        </w:tc>
        <w:tc>
          <w:tcPr>
            <w:tcW w:w="20" w:type="dxa"/>
            <w:vAlign w:val="bottom"/>
          </w:tcPr>
          <w:p>
            <w:pPr>
              <w:spacing w:after="0" w:line="20" w:lineRule="exact"/>
              <w:rPr>
                <w:sz w:val="1"/>
                <w:szCs w:val="1"/>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14 May 2026</w:t>
            </w:r>
          </w:p>
        </w:tc>
        <w:tc>
          <w:tcPr>
            <w:tcW w:w="0" w:type="dxa"/>
            <w:vAlign w:val="bottom"/>
          </w:tcPr>
          <w:p>
            <w:pPr>
              <w:spacing w:after="0" w:line="20" w:lineRule="exact"/>
              <w:rPr>
                <w:sz w:val="1"/>
                <w:szCs w:val="1"/>
                <w:color w:val="auto"/>
              </w:rPr>
            </w:pPr>
          </w:p>
        </w:tc>
      </w:tr>
      <w:tr>
        <w:trPr>
          <w:trHeight w:val="138"/>
        </w:trPr>
        <w:tc>
          <w:tcPr>
            <w:tcW w:w="112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Our Ref</w:t>
            </w:r>
          </w:p>
        </w:tc>
        <w:tc>
          <w:tcPr>
            <w:tcW w:w="20" w:type="dxa"/>
            <w:vAlign w:val="bottom"/>
          </w:tcPr>
          <w:p>
            <w:pPr>
              <w:spacing w:after="0"/>
              <w:rPr>
                <w:sz w:val="17"/>
                <w:szCs w:val="17"/>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AC4 01448064</w:t>
            </w:r>
          </w:p>
        </w:tc>
        <w:tc>
          <w:tcPr>
            <w:tcW w:w="0" w:type="dxa"/>
            <w:vAlign w:val="bottom"/>
          </w:tcPr>
          <w:p>
            <w:pPr>
              <w:spacing w:after="0"/>
              <w:rPr>
                <w:sz w:val="1"/>
                <w:szCs w:val="1"/>
                <w:color w:val="auto"/>
              </w:rPr>
            </w:pPr>
          </w:p>
        </w:tc>
      </w:tr>
      <w:tr>
        <w:trPr>
          <w:trHeight w:val="138"/>
        </w:trPr>
        <w:tc>
          <w:tcPr>
            <w:tcW w:w="112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GH Research plc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Joshua Dawson House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Dawson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Dublin 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D02 RY95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Ireland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GH Research plc </w:t>
      </w:r>
      <w:r>
        <w:rPr>
          <w:rFonts w:ascii="Times New Roman" w:cs="Times New Roman" w:eastAsia="Times New Roman" w:hAnsi="Times New Roman"/>
          <w:sz w:val="17"/>
          <w:szCs w:val="17"/>
          <w:color w:val="auto"/>
        </w:rPr>
        <w:t>(the</w:t>
      </w:r>
      <w:r>
        <w:rPr>
          <w:rFonts w:ascii="Times New Roman" w:cs="Times New Roman" w:eastAsia="Times New Roman" w:hAnsi="Times New Roman"/>
          <w:sz w:val="17"/>
          <w:szCs w:val="17"/>
          <w:b w:val="1"/>
          <w:bCs w:val="1"/>
          <w:color w:val="auto"/>
        </w:rPr>
        <w:t xml:space="preserve"> Company</w:t>
      </w:r>
      <w:r>
        <w:rPr>
          <w:rFonts w:ascii="Times New Roman" w:cs="Times New Roman" w:eastAsia="Times New Roman" w:hAnsi="Times New Roman"/>
          <w:sz w:val="17"/>
          <w:szCs w:val="17"/>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F-3 - Exhibit 5.1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Sirs</w:t>
      </w:r>
    </w:p>
    <w:p>
      <w:pPr>
        <w:spacing w:after="0" w:line="2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 xml:space="preserve">We are acting as Irish counsel to the Company, a public limited company incorporated under the laws of Ireland (registered number 691405), in connection with the filing of a registration statement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xml:space="preserve">) on Form F-3 with the United States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xml:space="preserve">)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xml:space="preserve">), pursuant to which we understand that the Company will register the offering, issuance and sale by the Company, from time to time, of up to $400,000,000 of the Company’s securities (the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xml:space="preserve">), which may include ordinary shares in the capital of the Company with a nominal value of $0.025 each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xml:space="preserve">), debt securities of the Company (the </w:t>
      </w:r>
      <w:r>
        <w:rPr>
          <w:rFonts w:ascii="Times New Roman" w:cs="Times New Roman" w:eastAsia="Times New Roman" w:hAnsi="Times New Roman"/>
          <w:sz w:val="17"/>
          <w:szCs w:val="17"/>
          <w:b w:val="1"/>
          <w:bCs w:val="1"/>
          <w:color w:val="auto"/>
        </w:rPr>
        <w:t>Debt Securities</w:t>
      </w:r>
      <w:r>
        <w:rPr>
          <w:rFonts w:ascii="Times New Roman" w:cs="Times New Roman" w:eastAsia="Times New Roman" w:hAnsi="Times New Roman"/>
          <w:sz w:val="17"/>
          <w:szCs w:val="17"/>
          <w:color w:val="auto"/>
        </w:rPr>
        <w:t xml:space="preserve">), warrants to purchase the Shares or the Debt Securities (the </w:t>
      </w: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17"/>
          <w:szCs w:val="17"/>
          <w:color w:val="auto"/>
        </w:rPr>
        <w:t>), subscription rights to purchase the Securities (the</w:t>
      </w:r>
      <w:r>
        <w:rPr>
          <w:rFonts w:ascii="Times New Roman" w:cs="Times New Roman" w:eastAsia="Times New Roman" w:hAnsi="Times New Roman"/>
          <w:sz w:val="17"/>
          <w:szCs w:val="17"/>
          <w:b w:val="1"/>
          <w:bCs w:val="1"/>
          <w:color w:val="auto"/>
        </w:rPr>
        <w:t xml:space="preserve"> Subscription Rights</w:t>
      </w:r>
      <w:r>
        <w:rPr>
          <w:rFonts w:ascii="Times New Roman" w:cs="Times New Roman" w:eastAsia="Times New Roman" w:hAnsi="Times New Roman"/>
          <w:sz w:val="17"/>
          <w:szCs w:val="17"/>
          <w:color w:val="auto"/>
        </w:rPr>
        <w:t>) and units consisting of any combination of Shares, Debt Securities, Warrants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any combination of such Securities (the </w:t>
      </w:r>
      <w:r>
        <w:rPr>
          <w:rFonts w:ascii="Times New Roman" w:cs="Times New Roman" w:eastAsia="Times New Roman" w:hAnsi="Times New Roman"/>
          <w:sz w:val="17"/>
          <w:szCs w:val="17"/>
          <w:b w:val="1"/>
          <w:bCs w:val="1"/>
          <w:color w:val="auto"/>
        </w:rPr>
        <w:t>Units</w:t>
      </w:r>
      <w:r>
        <w:rPr>
          <w:rFonts w:ascii="Times New Roman" w:cs="Times New Roman" w:eastAsia="Times New Roman" w:hAnsi="Times New Roman"/>
          <w:sz w:val="17"/>
          <w:szCs w:val="17"/>
          <w:color w:val="auto"/>
        </w:rPr>
        <w:t>), pursuant to the terms of the Registration Statement, the prospectus contained therein and any amendments or supplements thereto.</w:t>
      </w:r>
    </w:p>
    <w:p>
      <w:pPr>
        <w:spacing w:after="0" w:line="5" w:lineRule="exact"/>
        <w:rPr>
          <w:sz w:val="20"/>
          <w:szCs w:val="20"/>
          <w:color w:val="auto"/>
        </w:rPr>
      </w:pPr>
    </w:p>
    <w:p>
      <w:pPr>
        <w:ind w:right="5500"/>
        <w:spacing w:after="0" w:line="482" w:lineRule="auto"/>
        <w:tabs>
          <w:tab w:leader="none" w:pos="51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this Opinion, we have examined and relied upon copies of: 1.1 the Registration Statement; and</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    such corporate records of the Company as we have deemed necessary as a basis for the opinions hereinafter expressed.</w:t>
      </w:r>
    </w:p>
    <w:p>
      <w:pPr>
        <w:spacing w:after="0" w:line="200" w:lineRule="exact"/>
        <w:rPr>
          <w:sz w:val="20"/>
          <w:szCs w:val="20"/>
          <w:color w:val="auto"/>
        </w:rPr>
      </w:pPr>
    </w:p>
    <w:p>
      <w:pPr>
        <w:spacing w:after="0" w:line="2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In rendering this Opinion, we have examined, and have assumed, without any responsibility on our part if any assumption proves to have been untrue as we have not independently verified any assumption, the truth, accuracy and completeness of the contents of, all such records, documents and certificates of officers of the Company and of public officials as to factual matters and have conducted such searches on 14 May 2026 (being the last practicable date on which searches could be conducted) in public registries in Ireland as we have deemed necessary or appropriate for the purposes of this Opinion but have made no independent investigation regarding such factual matters. In our examination we have assumed the (continued) truth, accuracy and completeness of the information contained in such documents, the genuineness of all signatures (electronic or otherwise), that any signatures (electronic or otherwise) are the signatures of the persons who they purport to be, the authenticity of all documents submitted to us as originals, the conformity to original documents of all documents submitted to us as certified or photostatic copies and the authenticity of the originals of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250190</wp:posOffset>
            </wp:positionV>
            <wp:extent cx="714184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1440"/>
        <w:spacing w:after="0" w:line="232" w:lineRule="auto"/>
        <w:rPr>
          <w:sz w:val="20"/>
          <w:szCs w:val="20"/>
          <w:color w:val="auto"/>
        </w:rPr>
      </w:pPr>
      <w:r>
        <w:rPr>
          <w:rFonts w:ascii="Times New Roman" w:cs="Times New Roman" w:eastAsia="Times New Roman" w:hAnsi="Times New Roman"/>
          <w:sz w:val="13"/>
          <w:szCs w:val="13"/>
          <w:color w:val="4D4D4D"/>
        </w:rPr>
        <w:t>CE Gill • JG Grennan • VJ Power • SM Doggett • G O’Toole • N O’Sullivan • MJ Ward • D Widger • C Christle • S Ó Cróinin • DR Baxter • A McCarthy • JF Whelan • JB Somerville MF Barr • AM Curran • A Roberts • RM Moore • D Main • J Cahir • PM Murray • P Walker • K Furlong • PT Fahy • M Coghlan • DR Francis • A Casey • B Hosty</w:t>
      </w:r>
    </w:p>
    <w:p>
      <w:pPr>
        <w:spacing w:after="0" w:line="222" w:lineRule="auto"/>
        <w:rPr>
          <w:sz w:val="20"/>
          <w:szCs w:val="20"/>
          <w:color w:val="auto"/>
        </w:rPr>
      </w:pPr>
      <w:r>
        <w:rPr>
          <w:rFonts w:ascii="Times New Roman" w:cs="Times New Roman" w:eastAsia="Times New Roman" w:hAnsi="Times New Roman"/>
          <w:sz w:val="13"/>
          <w:szCs w:val="13"/>
          <w:color w:val="4D4D4D"/>
        </w:rPr>
        <w:t>M O’Brien • L Mulleady • K Ryan • E Hurley • D Dagostino • R Grey • R Lyons • J Sheehy • C Carroll • SE Carson • P Diggin • J Williams • A O’Beirne • J Dallas • SM Lynch</w:t>
      </w:r>
    </w:p>
    <w:p>
      <w:pPr>
        <w:spacing w:after="0" w:line="1" w:lineRule="exact"/>
        <w:rPr>
          <w:sz w:val="20"/>
          <w:szCs w:val="20"/>
          <w:color w:val="auto"/>
        </w:rPr>
      </w:pPr>
    </w:p>
    <w:p>
      <w:pPr>
        <w:ind w:right="820"/>
        <w:spacing w:after="0" w:line="221" w:lineRule="auto"/>
        <w:rPr>
          <w:sz w:val="20"/>
          <w:szCs w:val="20"/>
          <w:color w:val="auto"/>
        </w:rPr>
      </w:pPr>
      <w:r>
        <w:rPr>
          <w:rFonts w:ascii="Times New Roman" w:cs="Times New Roman" w:eastAsia="Times New Roman" w:hAnsi="Times New Roman"/>
          <w:sz w:val="13"/>
          <w:szCs w:val="13"/>
          <w:color w:val="4D4D4D"/>
        </w:rPr>
        <w:t>M McElhinney • C Owens • K O’Connor • T Casey • M Doyle • CJ Comerford • R Marron • K O’Shaughnessy • S O’Connor • SE Murphy • D Nangle • C Ó Conluain • N McMahon • HP Brandt A Sheridan • N Cole • M Devane • D Fitzgerald • G McDonald • N Meehan • R O’Driscoll • B O’Malley • C Bollard • M Daly • D Geraghty • LC Kennedy • E Mulhern • MJ Ellis</w:t>
      </w:r>
    </w:p>
    <w:p>
      <w:pPr>
        <w:spacing w:after="0" w:line="1" w:lineRule="exact"/>
        <w:rPr>
          <w:sz w:val="20"/>
          <w:szCs w:val="20"/>
          <w:color w:val="auto"/>
        </w:rPr>
      </w:pPr>
    </w:p>
    <w:p>
      <w:pPr>
        <w:ind w:right="860"/>
        <w:spacing w:after="0" w:line="232" w:lineRule="auto"/>
        <w:rPr>
          <w:sz w:val="20"/>
          <w:szCs w:val="20"/>
          <w:color w:val="auto"/>
        </w:rPr>
      </w:pPr>
      <w:r>
        <w:rPr>
          <w:rFonts w:ascii="Times New Roman" w:cs="Times New Roman" w:eastAsia="Times New Roman" w:hAnsi="Times New Roman"/>
          <w:sz w:val="13"/>
          <w:szCs w:val="13"/>
          <w:color w:val="4D4D4D"/>
        </w:rPr>
        <w:t>D Griffin • D McElroy • C Culleton • B Nic Suibhne • S Quinlivan • J Rattigan • K Mulhern • A Muldowney • L Dunne • A Burke • C Bergin • P Fogarty • CM Carroll • E Keane • D Daly Byrne S Kearney • SE King • J Greene • C Cashin • T Glavey • E O Connor • D Broderick • K Harnett • E O’Brien • S Ahern • BP Curran • J Quirke • H Shaw • E Browne MM O’Brien • S Egan • A O’Donoghue • L Hogan • S D’Ardis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4D4D4D"/>
        </w:rPr>
        <w:t>Consultants: Professor JCW Wylie • MA Greene • AV Fanagan • PM Law • SW Haughey • PD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236220</wp:posOffset>
            </wp:positionV>
            <wp:extent cx="714184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2" w:name="page53"/>
    <w:bookmarkEnd w:id="52"/>
    <w:p>
      <w:pPr>
        <w:ind w:left="520" w:hanging="520"/>
        <w:spacing w:after="0" w:line="272" w:lineRule="auto"/>
        <w:tabs>
          <w:tab w:leader="none" w:pos="5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203200</wp:posOffset>
            </wp:positionH>
            <wp:positionV relativeFrom="page">
              <wp:posOffset>216535</wp:posOffset>
            </wp:positionV>
            <wp:extent cx="1592580" cy="2387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592580" cy="238760"/>
                    </a:xfrm>
                    <a:prstGeom prst="rect">
                      <a:avLst/>
                    </a:prstGeom>
                    <a:noFill/>
                  </pic:spPr>
                </pic:pic>
              </a:graphicData>
            </a:graphic>
          </wp:anchor>
        </w:drawing>
        <w:t>We have further assumed the following without any responsibility on our part if any assumption proves to have been untrue as we have not independently verified any assumption:</w:t>
      </w:r>
    </w:p>
    <w:p>
      <w:pPr>
        <w:spacing w:after="0" w:line="159" w:lineRule="exact"/>
        <w:rPr>
          <w:sz w:val="20"/>
          <w:szCs w:val="20"/>
          <w:color w:val="auto"/>
        </w:rPr>
      </w:pPr>
    </w:p>
    <w:p>
      <w:pPr>
        <w:jc w:val="both"/>
        <w:ind w:left="520" w:hanging="513"/>
        <w:spacing w:after="0" w:line="255" w:lineRule="auto"/>
        <w:tabs>
          <w:tab w:leader="none" w:pos="50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7"/>
          <w:szCs w:val="17"/>
          <w:color w:val="auto"/>
        </w:rPr>
        <w:t xml:space="preserve">that, at the time of the issuance of the Shares, a sufficient number of Shares will be authorised and available for issuance by the Company’s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pursuant to the Company’s constitution as adopted on 24 June 2021 (the </w:t>
      </w:r>
      <w:r>
        <w:rPr>
          <w:rFonts w:ascii="Times New Roman" w:cs="Times New Roman" w:eastAsia="Times New Roman" w:hAnsi="Times New Roman"/>
          <w:sz w:val="17"/>
          <w:szCs w:val="17"/>
          <w:b w:val="1"/>
          <w:bCs w:val="1"/>
          <w:color w:val="auto"/>
        </w:rPr>
        <w:t>Constitution</w:t>
      </w:r>
      <w:r>
        <w:rPr>
          <w:rFonts w:ascii="Times New Roman" w:cs="Times New Roman" w:eastAsia="Times New Roman" w:hAnsi="Times New Roman"/>
          <w:sz w:val="17"/>
          <w:szCs w:val="17"/>
          <w:color w:val="auto"/>
        </w:rPr>
        <w:t>), that the consideration for the issuance of such Shares will not be less than the nominal value of such Shares and that the Board, or any appropriate committee appointed thereby, will have the valid authority to issue such Shares on a non-pre-emptive basis;</w:t>
      </w:r>
    </w:p>
    <w:p>
      <w:pPr>
        <w:spacing w:after="0" w:line="172" w:lineRule="exact"/>
        <w:rPr>
          <w:sz w:val="20"/>
          <w:szCs w:val="20"/>
          <w:color w:val="auto"/>
        </w:rPr>
      </w:pPr>
    </w:p>
    <w:p>
      <w:pPr>
        <w:jc w:val="both"/>
        <w:ind w:left="520" w:hanging="513"/>
        <w:spacing w:after="0" w:line="255" w:lineRule="auto"/>
        <w:tabs>
          <w:tab w:leader="none" w:pos="50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7"/>
          <w:szCs w:val="17"/>
          <w:color w:val="auto"/>
        </w:rPr>
        <w:t>that, at the time of the issuance of the Securities, pursuant to the Company’s Constitution, the Board, or any appropriate committee appointed thereby, will have the valid authority to issue such Securities and that such Securities will have been duly executed, authenticated (if applicable), issued and delivered against payment therefor in accordance with the terms of the applicable Securities agreement(s) and in the manner contemplated by the applicable prospectus and that such Securities will be the legally valid and binding obligations of the Company, enforceable against the Company in accordance with their terms;</w:t>
      </w:r>
    </w:p>
    <w:p>
      <w:pPr>
        <w:spacing w:after="0" w:line="172" w:lineRule="exact"/>
        <w:rPr>
          <w:sz w:val="20"/>
          <w:szCs w:val="20"/>
          <w:color w:val="auto"/>
        </w:rPr>
      </w:pPr>
    </w:p>
    <w:p>
      <w:pPr>
        <w:jc w:val="both"/>
        <w:ind w:left="520" w:hanging="513"/>
        <w:spacing w:after="0" w:line="255" w:lineRule="auto"/>
        <w:tabs>
          <w:tab w:leader="none" w:pos="500" w:val="left"/>
        </w:tabs>
        <w:rPr>
          <w:sz w:val="20"/>
          <w:szCs w:val="20"/>
          <w:color w:val="auto"/>
        </w:rPr>
      </w:pPr>
      <w:r>
        <w:rPr>
          <w:rFonts w:ascii="Times New Roman" w:cs="Times New Roman" w:eastAsia="Times New Roman" w:hAnsi="Times New Roman"/>
          <w:sz w:val="17"/>
          <w:szCs w:val="17"/>
          <w:color w:val="auto"/>
        </w:rPr>
        <w:t>2.3</w:t>
      </w:r>
      <w:r>
        <w:rPr>
          <w:sz w:val="20"/>
          <w:szCs w:val="20"/>
          <w:color w:val="auto"/>
        </w:rPr>
        <w:tab/>
      </w:r>
      <w:r>
        <w:rPr>
          <w:rFonts w:ascii="Times New Roman" w:cs="Times New Roman" w:eastAsia="Times New Roman" w:hAnsi="Times New Roman"/>
          <w:sz w:val="17"/>
          <w:szCs w:val="17"/>
          <w:color w:val="auto"/>
        </w:rPr>
        <w:t xml:space="preserve">that, at the time of issuance of any Shares issuable upon the exercise of any Debt Securities, Warrants, Subscription Rights or Units exercisable or convertible into Shares, in whole or in part (together, the </w:t>
      </w:r>
      <w:r>
        <w:rPr>
          <w:rFonts w:ascii="Times New Roman" w:cs="Times New Roman" w:eastAsia="Times New Roman" w:hAnsi="Times New Roman"/>
          <w:sz w:val="17"/>
          <w:szCs w:val="17"/>
          <w:b w:val="1"/>
          <w:bCs w:val="1"/>
          <w:color w:val="auto"/>
        </w:rPr>
        <w:t>Convertible Securities</w:t>
      </w:r>
      <w:r>
        <w:rPr>
          <w:rFonts w:ascii="Times New Roman" w:cs="Times New Roman" w:eastAsia="Times New Roman" w:hAnsi="Times New Roman"/>
          <w:sz w:val="17"/>
          <w:szCs w:val="17"/>
          <w:color w:val="auto"/>
        </w:rPr>
        <w:t>), there will be sufficient authorised but unissued share capital available for issuance by the Board under the Company’s Constitution and not otherwise reserved for issuance and that the Board, or any appropriate committee appointed thereby, will have the valid authority to issue such Shares on a non-pre-emptive basis;</w:t>
      </w:r>
    </w:p>
    <w:p>
      <w:pPr>
        <w:spacing w:after="0" w:line="172" w:lineRule="exact"/>
        <w:rPr>
          <w:sz w:val="20"/>
          <w:szCs w:val="20"/>
          <w:color w:val="auto"/>
        </w:rPr>
      </w:pPr>
    </w:p>
    <w:p>
      <w:pPr>
        <w:jc w:val="both"/>
        <w:ind w:left="520" w:hanging="513"/>
        <w:spacing w:after="0" w:line="259" w:lineRule="auto"/>
        <w:tabs>
          <w:tab w:leader="none" w:pos="5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auto"/>
        </w:rPr>
        <w:t xml:space="preserve">that the issuance of any Shares upon the conversion, exchange and exercise of any of the Convertible Securities will be conducted in accordance with the terms and the procedures described in the Company’s Constitution, the Companies Act 2014, as amended (the </w:t>
      </w:r>
      <w:r>
        <w:rPr>
          <w:rFonts w:ascii="Times New Roman" w:cs="Times New Roman" w:eastAsia="Times New Roman" w:hAnsi="Times New Roman"/>
          <w:sz w:val="17"/>
          <w:szCs w:val="17"/>
          <w:b w:val="1"/>
          <w:bCs w:val="1"/>
          <w:color w:val="auto"/>
        </w:rPr>
        <w:t>Companies Act</w:t>
      </w:r>
      <w:r>
        <w:rPr>
          <w:rFonts w:ascii="Times New Roman" w:cs="Times New Roman" w:eastAsia="Times New Roman" w:hAnsi="Times New Roman"/>
          <w:sz w:val="17"/>
          <w:szCs w:val="17"/>
          <w:color w:val="auto"/>
        </w:rPr>
        <w:t>), and the terms of issuance of such Convertible Securities;</w:t>
      </w:r>
    </w:p>
    <w:p>
      <w:pPr>
        <w:spacing w:after="0" w:line="170" w:lineRule="exact"/>
        <w:rPr>
          <w:sz w:val="20"/>
          <w:szCs w:val="20"/>
          <w:color w:val="auto"/>
        </w:rPr>
      </w:pPr>
    </w:p>
    <w:p>
      <w:pPr>
        <w:jc w:val="both"/>
        <w:ind w:left="520" w:hanging="513"/>
        <w:spacing w:after="0" w:line="272" w:lineRule="auto"/>
        <w:tabs>
          <w:tab w:leader="none" w:pos="500" w:val="left"/>
        </w:tabs>
        <w:rPr>
          <w:sz w:val="20"/>
          <w:szCs w:val="20"/>
          <w:color w:val="auto"/>
        </w:rPr>
      </w:pPr>
      <w:r>
        <w:rPr>
          <w:rFonts w:ascii="Times New Roman" w:cs="Times New Roman" w:eastAsia="Times New Roman" w:hAnsi="Times New Roman"/>
          <w:sz w:val="17"/>
          <w:szCs w:val="17"/>
          <w:color w:val="auto"/>
        </w:rPr>
        <w:t>2.5</w:t>
      </w:r>
      <w:r>
        <w:rPr>
          <w:sz w:val="20"/>
          <w:szCs w:val="20"/>
          <w:color w:val="auto"/>
        </w:rPr>
        <w:tab/>
      </w:r>
      <w:r>
        <w:rPr>
          <w:rFonts w:ascii="Times New Roman" w:cs="Times New Roman" w:eastAsia="Times New Roman" w:hAnsi="Times New Roman"/>
          <w:sz w:val="17"/>
          <w:szCs w:val="17"/>
          <w:color w:val="auto"/>
        </w:rPr>
        <w:t>that the issuance of any of the Securities will be in compliance with the Companies Act, the Irish Takeover Panel Act 1997, Takeover Rules 2022, and all applicable Irish company, takeover, securities, market abuse, insider dealing laws and other rules and regulations;</w:t>
      </w:r>
    </w:p>
    <w:p>
      <w:pPr>
        <w:spacing w:after="0" w:line="159" w:lineRule="exact"/>
        <w:rPr>
          <w:sz w:val="20"/>
          <w:szCs w:val="20"/>
          <w:color w:val="auto"/>
        </w:rPr>
      </w:pPr>
    </w:p>
    <w:p>
      <w:pPr>
        <w:jc w:val="both"/>
        <w:ind w:left="520" w:hanging="513"/>
        <w:spacing w:after="0" w:line="304" w:lineRule="auto"/>
        <w:tabs>
          <w:tab w:leader="none" w:pos="500" w:val="left"/>
        </w:tabs>
        <w:rPr>
          <w:sz w:val="20"/>
          <w:szCs w:val="20"/>
          <w:color w:val="auto"/>
        </w:rPr>
      </w:pPr>
      <w:r>
        <w:rPr>
          <w:rFonts w:ascii="Times New Roman" w:cs="Times New Roman" w:eastAsia="Times New Roman" w:hAnsi="Times New Roman"/>
          <w:sz w:val="17"/>
          <w:szCs w:val="17"/>
          <w:color w:val="auto"/>
        </w:rPr>
        <w:t>2.6</w:t>
      </w:r>
      <w:r>
        <w:rPr>
          <w:sz w:val="20"/>
          <w:szCs w:val="20"/>
          <w:color w:val="auto"/>
        </w:rPr>
        <w:tab/>
      </w:r>
      <w:r>
        <w:rPr>
          <w:rFonts w:ascii="Times New Roman" w:cs="Times New Roman" w:eastAsia="Times New Roman" w:hAnsi="Times New Roman"/>
          <w:sz w:val="16"/>
          <w:szCs w:val="16"/>
          <w:color w:val="auto"/>
        </w:rPr>
        <w:t>that none of the resolutions and authorities of the Board or shareholders of the Company upon which we have relied for the purposes of this Opinion have been or will be varied, amended or revoked in any respect or have expired and that the Securities will be issued in accordance with such resolutions and authorities;</w:t>
      </w:r>
    </w:p>
    <w:p>
      <w:pPr>
        <w:spacing w:after="0" w:line="136" w:lineRule="exact"/>
        <w:rPr>
          <w:sz w:val="20"/>
          <w:szCs w:val="20"/>
          <w:color w:val="auto"/>
        </w:rPr>
      </w:pPr>
    </w:p>
    <w:p>
      <w:pPr>
        <w:jc w:val="both"/>
        <w:ind w:left="520" w:hanging="513"/>
        <w:spacing w:after="0" w:line="259" w:lineRule="auto"/>
        <w:tabs>
          <w:tab w:leader="none" w:pos="500" w:val="left"/>
        </w:tabs>
        <w:rPr>
          <w:sz w:val="20"/>
          <w:szCs w:val="20"/>
          <w:color w:val="auto"/>
        </w:rPr>
      </w:pPr>
      <w:r>
        <w:rPr>
          <w:rFonts w:ascii="Times New Roman" w:cs="Times New Roman" w:eastAsia="Times New Roman" w:hAnsi="Times New Roman"/>
          <w:sz w:val="17"/>
          <w:szCs w:val="17"/>
          <w:color w:val="auto"/>
        </w:rPr>
        <w:t>2.7</w:t>
      </w:r>
      <w:r>
        <w:rPr>
          <w:sz w:val="20"/>
          <w:szCs w:val="20"/>
          <w:color w:val="auto"/>
        </w:rPr>
        <w:tab/>
      </w:r>
      <w:r>
        <w:rPr>
          <w:rFonts w:ascii="Times New Roman" w:cs="Times New Roman" w:eastAsia="Times New Roman" w:hAnsi="Times New Roman"/>
          <w:sz w:val="17"/>
          <w:szCs w:val="17"/>
          <w:color w:val="auto"/>
        </w:rPr>
        <w:t>that, when filed with the SEC, the Registration Statement will not differ in any material respect from the final draft that we have examined and that before any Securities are issued, offered or sold, the Registration Statement and any amendments to the Registration Statement (including post-effective amendments) will have become effective under the Securities Act;</w:t>
      </w:r>
    </w:p>
    <w:p>
      <w:pPr>
        <w:spacing w:after="0" w:line="170" w:lineRule="exact"/>
        <w:rPr>
          <w:sz w:val="20"/>
          <w:szCs w:val="20"/>
          <w:color w:val="auto"/>
        </w:rPr>
      </w:pPr>
    </w:p>
    <w:p>
      <w:pPr>
        <w:jc w:val="both"/>
        <w:ind w:left="520" w:hanging="513"/>
        <w:spacing w:after="0" w:line="276" w:lineRule="auto"/>
        <w:tabs>
          <w:tab w:leader="none" w:pos="500" w:val="left"/>
        </w:tabs>
        <w:rPr>
          <w:sz w:val="20"/>
          <w:szCs w:val="20"/>
          <w:color w:val="auto"/>
        </w:rPr>
      </w:pPr>
      <w:r>
        <w:rPr>
          <w:rFonts w:ascii="Times New Roman" w:cs="Times New Roman" w:eastAsia="Times New Roman" w:hAnsi="Times New Roman"/>
          <w:sz w:val="17"/>
          <w:szCs w:val="17"/>
          <w:color w:val="auto"/>
        </w:rPr>
        <w:t>2.8</w:t>
      </w:r>
      <w:r>
        <w:rPr>
          <w:sz w:val="20"/>
          <w:szCs w:val="20"/>
          <w:color w:val="auto"/>
        </w:rPr>
        <w:tab/>
      </w:r>
      <w:r>
        <w:rPr>
          <w:rFonts w:ascii="Times New Roman" w:cs="Times New Roman" w:eastAsia="Times New Roman" w:hAnsi="Times New Roman"/>
          <w:sz w:val="16"/>
          <w:szCs w:val="16"/>
          <w:color w:val="auto"/>
        </w:rPr>
        <w:t>that no authorisations, approvals, licences, exemptions or consents of governmental or regulatory authorities with respect to the agreements or arrangements referred to in the Registration Statement are or will be required to be obtained, that the Securities will conform with the descriptions and restrictions contained in the Registration Statement, subject to such changes as may be required in order to comply with any requirement of Irish law, that the selling restrictions contained therein have been and will be at all times observed and that the Securities will comply with the terms of any agreements relating to the Securities;</w:t>
      </w:r>
    </w:p>
    <w:p>
      <w:pPr>
        <w:spacing w:after="0" w:line="157" w:lineRule="exact"/>
        <w:rPr>
          <w:sz w:val="20"/>
          <w:szCs w:val="20"/>
          <w:color w:val="auto"/>
        </w:rPr>
      </w:pPr>
    </w:p>
    <w:p>
      <w:pPr>
        <w:jc w:val="both"/>
        <w:ind w:left="520" w:hanging="513"/>
        <w:spacing w:after="0" w:line="259" w:lineRule="auto"/>
        <w:tabs>
          <w:tab w:leader="none" w:pos="500" w:val="left"/>
        </w:tabs>
        <w:rPr>
          <w:sz w:val="20"/>
          <w:szCs w:val="20"/>
          <w:color w:val="auto"/>
        </w:rPr>
      </w:pPr>
      <w:r>
        <w:rPr>
          <w:rFonts w:ascii="Times New Roman" w:cs="Times New Roman" w:eastAsia="Times New Roman" w:hAnsi="Times New Roman"/>
          <w:sz w:val="17"/>
          <w:szCs w:val="17"/>
          <w:color w:val="auto"/>
        </w:rPr>
        <w:t>2.9</w:t>
      </w:r>
      <w:r>
        <w:rPr>
          <w:sz w:val="20"/>
          <w:szCs w:val="20"/>
          <w:color w:val="auto"/>
        </w:rPr>
        <w:tab/>
      </w:r>
      <w:r>
        <w:rPr>
          <w:rFonts w:ascii="Times New Roman" w:cs="Times New Roman" w:eastAsia="Times New Roman" w:hAnsi="Times New Roman"/>
          <w:sz w:val="17"/>
          <w:szCs w:val="17"/>
          <w:color w:val="auto"/>
        </w:rPr>
        <w:t>that the Registration Statement does not constitute (and is not intended/required to constitute) a prospectus within the meaning of Part 23 of the Companies Act and to the extent that any offer of Securities is being made to investors in any member state of the European Union, the Company is satisfied that the obligation to propose and publish a prospectus pursuant to European Union and/or Irish prospectus law, does not arise; and</w:t>
      </w: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4184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ind w:left="520" w:hanging="513"/>
        <w:spacing w:after="0" w:line="250" w:lineRule="auto"/>
        <w:tabs>
          <w:tab w:leader="none" w:pos="50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1592580" cy="2387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592580" cy="238760"/>
                    </a:xfrm>
                    <a:prstGeom prst="rect">
                      <a:avLst/>
                    </a:prstGeom>
                    <a:noFill/>
                  </pic:spPr>
                </pic:pic>
              </a:graphicData>
            </a:graphic>
          </wp:anchor>
        </w:drawing>
        <w:t>2.10</w:t>
        <w:tab/>
        <w:t>the absence of fraud, coercion, duress or undue influence and lack of bad faith on the part of the Company and its respective officers, employees, agents and advisers and that the Company will issue the Securities in good faith, for its legitimate and bona fide business purposes. We have further assumed that: (i) the Company will be fully solvent at the time of and immediately following the issue of any Securities; (ii) no resolution or petition for the appointment of a liquidator or examiner will be passed or presented prior to the issue of any Securities; (iii) no receiver will have been appointed in relation to any of the assets or undertaking of the Company prior to the issue of any Securities; and (iv) no composition in satisfaction of debts, scheme of arrangement, or compromise or arrangement with creditors or members (or any class of creditors or members) will be proposed, sanctioned or approved in relation to the Company prior to the issue of the Securities.</w:t>
      </w:r>
    </w:p>
    <w:p>
      <w:pPr>
        <w:spacing w:after="0" w:line="180" w:lineRule="exact"/>
        <w:rPr>
          <w:sz w:val="20"/>
          <w:szCs w:val="20"/>
          <w:color w:val="auto"/>
        </w:rPr>
      </w:pPr>
    </w:p>
    <w:p>
      <w:pPr>
        <w:ind w:left="520" w:hanging="520"/>
        <w:spacing w:after="0" w:line="272" w:lineRule="auto"/>
        <w:tabs>
          <w:tab w:leader="none" w:pos="5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foregoing and to the within additional qualifications and assumptions, and based upon searches carried out in the Irish Companies Registration Office and the Central Office of the High Court on 14 May 2026 we are of the opinion that:</w:t>
      </w:r>
    </w:p>
    <w:p>
      <w:pPr>
        <w:spacing w:after="0" w:line="15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6"/>
          <w:szCs w:val="16"/>
          <w:color w:val="auto"/>
        </w:rPr>
        <w:t>the Company is a public limited company duly incorporated under the laws of Ireland and validly existing under the laws of Ireland;</w:t>
      </w:r>
    </w:p>
    <w:p>
      <w:pPr>
        <w:spacing w:after="0" w:line="206" w:lineRule="exact"/>
        <w:rPr>
          <w:sz w:val="20"/>
          <w:szCs w:val="20"/>
          <w:color w:val="auto"/>
        </w:rPr>
      </w:pPr>
    </w:p>
    <w:p>
      <w:pPr>
        <w:jc w:val="both"/>
        <w:ind w:left="520" w:hanging="513"/>
        <w:spacing w:after="0" w:line="255" w:lineRule="auto"/>
        <w:tabs>
          <w:tab w:leader="none" w:pos="50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7"/>
          <w:szCs w:val="17"/>
          <w:color w:val="auto"/>
        </w:rPr>
        <w:t>the Shares, including any Shares to be issued upon conversion, exercise, exchange or otherwise pursuant to the terms of any of the Securities, in each case when issued in accordance with all necessary corporate action of the Company, including a valid resolution of the Board or any duly appointed committee thereof, and when delivered against due payment therefor, shall be duly authorised, validly issued, fully paid and will not be subject to calls for any additional payments (non-assessable); and</w:t>
      </w:r>
    </w:p>
    <w:p>
      <w:pPr>
        <w:spacing w:after="0" w:line="172" w:lineRule="exact"/>
        <w:rPr>
          <w:sz w:val="20"/>
          <w:szCs w:val="20"/>
          <w:color w:val="auto"/>
        </w:rPr>
      </w:pPr>
    </w:p>
    <w:p>
      <w:pPr>
        <w:jc w:val="both"/>
        <w:ind w:left="520" w:hanging="513"/>
        <w:spacing w:after="0" w:line="252" w:lineRule="auto"/>
        <w:tabs>
          <w:tab w:leader="none" w:pos="500" w:val="left"/>
        </w:tabs>
        <w:rPr>
          <w:sz w:val="20"/>
          <w:szCs w:val="20"/>
          <w:color w:val="auto"/>
        </w:rPr>
      </w:pP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7"/>
          <w:szCs w:val="17"/>
          <w:color w:val="auto"/>
        </w:rPr>
        <w:t>the Debt Securities, Warrants, Subscription Rights and Units when (i) issued in accordance with all necessary corporate action of the Company, including a valid resolution of the Board or any duly appointed committee thereof; (ii) if appropriate, authenticated in the manner set forth in the applicable indenture, warrant agreement, subscription rights agreement, unit agreement or other applicable agreement; (iii) delivered against due payment therefor; and (iv) the applicable indenture, warrant agreement, subscription rights agreement, unit agreement or other applicable agreement has been duly authorized, executed and delivered by the Company and the other parties thereto, shall be duly authorized, validly issued and binding obligations of the Company.</w:t>
      </w:r>
    </w:p>
    <w:p>
      <w:pPr>
        <w:spacing w:after="0" w:line="3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rendering this Opinion, we have confined ourselves to matters of Irish law. We have made no investigation of and express no opinion on any laws other than the laws of Ireland (and the interpretation thereof) in force as at the date hereof and we express no opinion with respect to taxation matters. This Opinion speaks only as of its date. We are not under any obligation to update this Opinion from time to time, nor to notify you of any change of law, facts or circumstances referred to or relied upon in the giving of this Opinion.</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This Opinion is given solely for the benefit of the addressee of this Opinion and may not be relied upon by any other person without our prior written consent, provided, however, that it may be relied upon by persons entitled to rely on it pursuant to applicable provisions of US federal securities laws, including but not limited to any purchaser of the Securities.</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This Opinion is intended solely for use in connection with the registration and potential issuance of the Securities subject to the Registration Statement and is not to be relied upon for any other purpose.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Opinion is also strictly confined to the matters expressly stated herein and is not to be read as extending by implication or otherwise to any other matter.</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hereby consent to the filing of this Opinion with the SEC as an exhibit to the Registration Statement filed with the SEC on 14 May 2026 in accordance with the requirements of Item 601(b)(5) of Regulations S-K of the Securities Act, and to the use of our name therein and in the related Prospectus and in any prospectus supplement under the caption “Legal Matters”.</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4184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1592580" cy="2387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592580" cy="238760"/>
                    </a:xfrm>
                    <a:prstGeom prst="rect">
                      <a:avLst/>
                    </a:prstGeom>
                    <a:noFill/>
                  </pic:spPr>
                </pic:pic>
              </a:graphicData>
            </a:graphic>
          </wp:anchor>
        </w:drawing>
        <w:t>The Opinion is governed by and construed in accordance with the laws of Ireland.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Yours faithfully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A&amp;L Goodbody LLP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A&amp;L Goodbody LLP</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14184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55" w:name="page56"/>
    <w:bookmarkEnd w:id="55"/>
    <w:p>
      <w:pPr>
        <w:ind w:left="33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1845" cy="31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41845" cy="31750"/>
                    </a:xfrm>
                    <a:prstGeom prst="rect">
                      <a:avLst/>
                    </a:prstGeom>
                    <a:noFill/>
                  </pic:spPr>
                </pic:pic>
              </a:graphicData>
            </a:graphic>
          </wp:anchor>
        </w:drawing>
        <w:t>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-25400</wp:posOffset>
            </wp:positionV>
            <wp:extent cx="1592580" cy="294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1592580" cy="294640"/>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450 Lexington Avenue</w:t>
      </w:r>
    </w:p>
    <w:p>
      <w:pPr>
        <w:spacing w:after="0" w:line="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New York, NY 10017</w:t>
      </w:r>
    </w:p>
    <w:p>
      <w:pPr>
        <w:spacing w:after="0" w:line="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davispolk.com</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5.2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OPINION OF DAVIS POLK &amp; WARDWELL LLP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14,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GH Research PLC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Joshua Dawson House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Dawson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Dublin 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D02 RY95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Ireland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GH Research PLC, a public limited company incorporated under the laws of Ireland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is filing with the Securities and Exchange Commission 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on Form F-3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for the purpose of registering under the Securities Act of 1933, as amended (the “</w:t>
      </w:r>
      <w:r>
        <w:rPr>
          <w:rFonts w:ascii="Times New Roman" w:cs="Times New Roman" w:eastAsia="Times New Roman" w:hAnsi="Times New Roman"/>
          <w:sz w:val="17"/>
          <w:szCs w:val="17"/>
          <w:b w:val="1"/>
          <w:bCs w:val="1"/>
          <w:color w:val="auto"/>
        </w:rPr>
        <w:t>Securities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Act</w:t>
      </w:r>
      <w:r>
        <w:rPr>
          <w:rFonts w:ascii="Times New Roman" w:cs="Times New Roman" w:eastAsia="Times New Roman" w:hAnsi="Times New Roman"/>
          <w:sz w:val="16"/>
          <w:szCs w:val="16"/>
          <w:color w:val="auto"/>
        </w:rPr>
        <w:t>”), (a) ordinary shares in the capital of the Company with a nominal value of $0.025 each (the “</w:t>
      </w:r>
      <w:r>
        <w:rPr>
          <w:rFonts w:ascii="Times New Roman" w:cs="Times New Roman" w:eastAsia="Times New Roman" w:hAnsi="Times New Roman"/>
          <w:sz w:val="16"/>
          <w:szCs w:val="16"/>
          <w:b w:val="1"/>
          <w:bCs w:val="1"/>
          <w:color w:val="auto"/>
        </w:rPr>
        <w:t>Ordinary Shares</w:t>
      </w:r>
      <w:r>
        <w:rPr>
          <w:rFonts w:ascii="Times New Roman" w:cs="Times New Roman" w:eastAsia="Times New Roman" w:hAnsi="Times New Roman"/>
          <w:sz w:val="16"/>
          <w:szCs w:val="16"/>
          <w:color w:val="auto"/>
        </w:rPr>
        <w:t>”); (b) the Company’s debt securities (the “</w:t>
      </w:r>
      <w:r>
        <w:rPr>
          <w:rFonts w:ascii="Times New Roman" w:cs="Times New Roman" w:eastAsia="Times New Roman" w:hAnsi="Times New Roman"/>
          <w:sz w:val="16"/>
          <w:szCs w:val="16"/>
          <w:b w:val="1"/>
          <w:bCs w:val="1"/>
          <w:color w:val="auto"/>
        </w:rPr>
        <w:t>Debt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which may be issued pursuant to an indenture to be entered into between the Company and the trustee to be named therein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Indenture</w:t>
      </w:r>
      <w:r>
        <w:rPr>
          <w:rFonts w:ascii="Times New Roman" w:cs="Times New Roman" w:eastAsia="Times New Roman" w:hAnsi="Times New Roman"/>
          <w:sz w:val="17"/>
          <w:szCs w:val="17"/>
          <w:color w:val="auto"/>
        </w:rPr>
        <w:t>”); (c) warrants of the Company (the “</w:t>
      </w: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17"/>
          <w:szCs w:val="17"/>
          <w:color w:val="auto"/>
        </w:rPr>
        <w:t>”), which may be issued pursuant to one or more warrant agreements to be entered into between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and the warrant agent to be named therein (the “</w:t>
      </w:r>
      <w:r>
        <w:rPr>
          <w:rFonts w:ascii="Times New Roman" w:cs="Times New Roman" w:eastAsia="Times New Roman" w:hAnsi="Times New Roman"/>
          <w:sz w:val="16"/>
          <w:szCs w:val="16"/>
          <w:b w:val="1"/>
          <w:bCs w:val="1"/>
          <w:color w:val="auto"/>
        </w:rPr>
        <w:t>Warrant Agent</w:t>
      </w:r>
      <w:r>
        <w:rPr>
          <w:rFonts w:ascii="Times New Roman" w:cs="Times New Roman" w:eastAsia="Times New Roman" w:hAnsi="Times New Roman"/>
          <w:sz w:val="16"/>
          <w:szCs w:val="16"/>
          <w:color w:val="auto"/>
        </w:rPr>
        <w:t>”) (each such warrant agreement, a “</w:t>
      </w:r>
      <w:r>
        <w:rPr>
          <w:rFonts w:ascii="Times New Roman" w:cs="Times New Roman" w:eastAsia="Times New Roman" w:hAnsi="Times New Roman"/>
          <w:sz w:val="16"/>
          <w:szCs w:val="16"/>
          <w:b w:val="1"/>
          <w:bCs w:val="1"/>
          <w:color w:val="auto"/>
        </w:rPr>
        <w:t>Warrant Agreement</w:t>
      </w:r>
      <w:r>
        <w:rPr>
          <w:rFonts w:ascii="Times New Roman" w:cs="Times New Roman" w:eastAsia="Times New Roman" w:hAnsi="Times New Roman"/>
          <w:sz w:val="16"/>
          <w:szCs w:val="16"/>
          <w:color w:val="auto"/>
        </w:rPr>
        <w:t>”); (d) units (the “</w:t>
      </w:r>
      <w:r>
        <w:rPr>
          <w:rFonts w:ascii="Times New Roman" w:cs="Times New Roman" w:eastAsia="Times New Roman" w:hAnsi="Times New Roman"/>
          <w:sz w:val="16"/>
          <w:szCs w:val="16"/>
          <w:b w:val="1"/>
          <w:bCs w:val="1"/>
          <w:color w:val="auto"/>
        </w:rPr>
        <w:t>Units</w:t>
      </w:r>
      <w:r>
        <w:rPr>
          <w:rFonts w:ascii="Times New Roman" w:cs="Times New Roman" w:eastAsia="Times New Roman" w:hAnsi="Times New Roman"/>
          <w:sz w:val="16"/>
          <w:szCs w:val="16"/>
          <w:color w:val="auto"/>
        </w:rPr>
        <w:t>”), which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be issued pursuant to one or more unit agreements to be entered into among the Company, a bank or trust company, as unit agent (the “</w:t>
      </w:r>
      <w:r>
        <w:rPr>
          <w:rFonts w:ascii="Times New Roman" w:cs="Times New Roman" w:eastAsia="Times New Roman" w:hAnsi="Times New Roman"/>
          <w:sz w:val="17"/>
          <w:szCs w:val="17"/>
          <w:b w:val="1"/>
          <w:bCs w:val="1"/>
          <w:color w:val="auto"/>
        </w:rPr>
        <w:t>Unit Agent</w:t>
      </w:r>
      <w:r>
        <w:rPr>
          <w:rFonts w:ascii="Times New Roman" w:cs="Times New Roman" w:eastAsia="Times New Roman" w:hAnsi="Times New Roman"/>
          <w:sz w:val="17"/>
          <w:szCs w:val="17"/>
          <w:color w:val="auto"/>
        </w:rPr>
        <w:t>”), and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from time to time of the Units (each such unit agreement, a “</w:t>
      </w:r>
      <w:r>
        <w:rPr>
          <w:rFonts w:ascii="Times New Roman" w:cs="Times New Roman" w:eastAsia="Times New Roman" w:hAnsi="Times New Roman"/>
          <w:sz w:val="17"/>
          <w:szCs w:val="17"/>
          <w:b w:val="1"/>
          <w:bCs w:val="1"/>
          <w:color w:val="auto"/>
        </w:rPr>
        <w:t>Unit Agreement</w:t>
      </w:r>
      <w:r>
        <w:rPr>
          <w:rFonts w:ascii="Times New Roman" w:cs="Times New Roman" w:eastAsia="Times New Roman" w:hAnsi="Times New Roman"/>
          <w:sz w:val="17"/>
          <w:szCs w:val="17"/>
          <w:color w:val="auto"/>
        </w:rPr>
        <w:t>”); and (e) subscription rights (the “</w:t>
      </w:r>
      <w:r>
        <w:rPr>
          <w:rFonts w:ascii="Times New Roman" w:cs="Times New Roman" w:eastAsia="Times New Roman" w:hAnsi="Times New Roman"/>
          <w:sz w:val="17"/>
          <w:szCs w:val="17"/>
          <w:b w:val="1"/>
          <w:bCs w:val="1"/>
          <w:color w:val="auto"/>
        </w:rPr>
        <w:t>Rights</w:t>
      </w:r>
      <w:r>
        <w:rPr>
          <w:rFonts w:ascii="Times New Roman" w:cs="Times New Roman" w:eastAsia="Times New Roman" w:hAnsi="Times New Roman"/>
          <w:sz w:val="17"/>
          <w:szCs w:val="17"/>
          <w:color w:val="auto"/>
        </w:rPr>
        <w:t>”), which may be issued pursuant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 or more subscription rights agreements to be entered into between the Company and the subscription agent to be named therein (the “</w:t>
      </w:r>
      <w:r>
        <w:rPr>
          <w:rFonts w:ascii="Times New Roman" w:cs="Times New Roman" w:eastAsia="Times New Roman" w:hAnsi="Times New Roman"/>
          <w:sz w:val="17"/>
          <w:szCs w:val="17"/>
          <w:b w:val="1"/>
          <w:bCs w:val="1"/>
          <w:color w:val="auto"/>
        </w:rPr>
        <w:t>Rights Agent</w:t>
      </w:r>
      <w:r>
        <w:rPr>
          <w:rFonts w:ascii="Times New Roman" w:cs="Times New Roman" w:eastAsia="Times New Roman" w:hAnsi="Times New Roman"/>
          <w:sz w:val="17"/>
          <w:szCs w:val="17"/>
          <w:color w:val="auto"/>
        </w:rPr>
        <w:t>”) (each such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subscription rights agreement, a “</w:t>
      </w:r>
      <w:r>
        <w:rPr>
          <w:rFonts w:ascii="Times New Roman" w:cs="Times New Roman" w:eastAsia="Times New Roman" w:hAnsi="Times New Roman"/>
          <w:sz w:val="17"/>
          <w:szCs w:val="17"/>
          <w:b w:val="1"/>
          <w:bCs w:val="1"/>
          <w:color w:val="auto"/>
        </w:rPr>
        <w:t>Rights Agreement</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59"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upon the foregoing, and subject to the additional assumptions and qualifications set forth below, we advise you that, in our opinion:</w:t>
      </w:r>
    </w:p>
    <w:p>
      <w:pPr>
        <w:spacing w:after="0" w:line="206" w:lineRule="exact"/>
        <w:rPr>
          <w:sz w:val="20"/>
          <w:szCs w:val="20"/>
          <w:color w:val="auto"/>
        </w:rPr>
      </w:pPr>
    </w:p>
    <w:p>
      <w:pPr>
        <w:ind w:left="1200" w:right="20" w:hanging="598"/>
        <w:spacing w:after="0" w:line="248" w:lineRule="auto"/>
        <w:tabs>
          <w:tab w:leader="none" w:pos="12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Indenture and any supplemental indenture to be entered into in connection with the issuance of any Debt Securities have been duly authorized, executed and delivered by the Trustee and the Company; the specific terms of a particular series of Debt Securities have been duly authorized and established in accordance with the Indenture; and such Debt Securities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 provided that we express no opinion as to (w) the enforceability of any waiver of rights under any usury or stay law, (x) the effect of fraudulent conveyance, fraudulent transfer or similar provision of applicable law on the conclusions expressed above, (y) the validity, legally binding effect or enforceability of any section of the Indenture that requires or relates to adjustments to the conversion rate at a rate or in an amount that a court would determine in the circumstances under applicable law to be commercially unreasonable or a penalty or forfeiture or (z) the validity, legally binding effect or enforceability of any provision that permits holders to collect any portion of stated principal amount upon acceleration of the Debt Securities to the extent determined to constitute unearned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14184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56" w:name="page57"/>
    <w:bookmarkEnd w:id="56"/>
    <w:p>
      <w:pPr>
        <w:ind w:left="598" w:right="20" w:hanging="598"/>
        <w:spacing w:after="0" w:line="250" w:lineRule="auto"/>
        <w:tabs>
          <w:tab w:leader="none" w:pos="59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79" w:lineRule="exact"/>
        <w:rPr>
          <w:rFonts w:ascii="Times New Roman" w:cs="Times New Roman" w:eastAsia="Times New Roman" w:hAnsi="Times New Roman"/>
          <w:sz w:val="17"/>
          <w:szCs w:val="17"/>
          <w:color w:val="auto"/>
        </w:rPr>
      </w:pPr>
    </w:p>
    <w:p>
      <w:pPr>
        <w:ind w:left="598" w:hanging="598"/>
        <w:spacing w:after="0" w:line="250" w:lineRule="auto"/>
        <w:tabs>
          <w:tab w:leader="none" w:pos="59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79" w:lineRule="exact"/>
        <w:rPr>
          <w:rFonts w:ascii="Times New Roman" w:cs="Times New Roman" w:eastAsia="Times New Roman" w:hAnsi="Times New Roman"/>
          <w:sz w:val="17"/>
          <w:szCs w:val="17"/>
          <w:color w:val="auto"/>
        </w:rPr>
      </w:pPr>
    </w:p>
    <w:p>
      <w:pPr>
        <w:ind w:left="598" w:right="20" w:hanging="598"/>
        <w:spacing w:after="0" w:line="250" w:lineRule="auto"/>
        <w:tabs>
          <w:tab w:leader="none" w:pos="59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Rights Agreement to be entered into in connection with the issuance of any Rights has been duly authorized, executed and delivered by the Rights Agent and the Company; the specific terms of the Rights have been duly authorized and established in accordance with the Rights Agreement; and such Rights have been duly authorized, executed, issued and delivered in accordance with the Rights Agreement and the applicable underwriting or other agreement against payment therefor, such Rights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100330</wp:posOffset>
            </wp:positionV>
            <wp:extent cx="714184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0638"/>
          </w:cols>
          <w:pgMar w:left="922" w:top="123" w:right="339" w:bottom="1440" w:gutter="0" w:footer="0" w:header="0"/>
        </w:sectPr>
      </w:pPr>
    </w:p>
    <w:bookmarkStart w:id="57" w:name="page58"/>
    <w:bookmarkEnd w:id="57"/>
    <w:p>
      <w:pPr>
        <w:spacing w:after="0" w:line="248" w:lineRule="auto"/>
        <w:rPr>
          <w:sz w:val="20"/>
          <w:szCs w:val="20"/>
          <w:color w:val="auto"/>
        </w:rPr>
      </w:pPr>
      <w:r>
        <w:rPr>
          <w:rFonts w:ascii="Times New Roman" w:cs="Times New Roman" w:eastAsia="Times New Roman" w:hAnsi="Times New Roman"/>
          <w:sz w:val="17"/>
          <w:szCs w:val="17"/>
          <w:color w:val="auto"/>
        </w:rPr>
        <w:t>In connection with the opinions expressed above, we have assumed that, at or prior to the time of the delivery of any such security, (i) the Board of Directors of the Company shall have duly established the terms of such security and the Board of Directors of the Company and, to the extent required under Irish law, the shareholders of the Company shall have duly authorized the issuance and sale of such security and such authorization shall not have been modified or rescinded; (ii) the Company is, and shall remain, validly existing as a public limited company duly incorporated under the laws of Ireland and validly existing under the laws of Ireland; (iii) the Registration Statement shall have become effective and such effectiveness shall not have been terminated or rescinded; (iv) the Indenture, the Debt Securities, the Warrant Agreement, the Unit Agreement and the Rights Agreement (collectively, the “</w:t>
      </w:r>
      <w:r>
        <w:rPr>
          <w:rFonts w:ascii="Times New Roman" w:cs="Times New Roman" w:eastAsia="Times New Roman" w:hAnsi="Times New Roman"/>
          <w:sz w:val="17"/>
          <w:szCs w:val="17"/>
          <w:b w:val="1"/>
          <w:bCs w:val="1"/>
          <w:color w:val="auto"/>
        </w:rPr>
        <w:t>Documents</w:t>
      </w:r>
      <w:r>
        <w:rPr>
          <w:rFonts w:ascii="Times New Roman" w:cs="Times New Roman" w:eastAsia="Times New Roman" w:hAnsi="Times New Roman"/>
          <w:sz w:val="17"/>
          <w:szCs w:val="17"/>
          <w:color w:val="auto"/>
        </w:rPr>
        <w:t>”) are each valid, binding and enforceable agreements of each party thereto (other than as expressly covered above in respect of the Company); and (v) there shall not have occurred any change in law affecting the validity or enforceability of such security. We have also assumed that the terms of any security whose terms are established subsequent to the date hereof and the issuance, execution, delivery and performance by the Company of any such security (a) are within its corporate powers, (b) do not contravene, or constitute a default under, the constitution or other constitutive documents of the Company, (c) require no action by or in respect of, or filing with, any governmental body, agency or official and (d) do not contravene, or constitute a default under, any provision of applicable law or public policy or regulation or any judgment, injunction, order or decree or any agreement or other instrument binding upon the Company and (ii) any Warrant Agreement, Unit Agreement and Rights Agreement and any security issued pursuant to any such agreements will be governed by the laws of the State of New York.</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We are members of the Bar of the State of New York and the foregoing opinion is limited to the laws of the State of New York and the federal laws of the United States, except that we express no opinion as to (i) any law, rule or regulation that is applicable to the Company, the Documents or such transactions solely because such law, rule or regulation is part of a regulatory regime applicable to any party to any of the Documents or any of its affiliates due to the specific assets or business of such party or such affiliate or (ii) any law, rule or regulation relating to national security. Insofar as the foregoing opinion involves matters governed by the laws of Ireland, we have relied, without independent inquiry or investigation, on the opinion of A&amp;L Goodbody LLP delivered to you today.</w:t>
      </w:r>
    </w:p>
    <w:p>
      <w:pPr>
        <w:spacing w:after="0" w:line="177"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7"/>
          <w:szCs w:val="17"/>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Davis Polk &amp; Wardwell LLP</w:t>
      </w:r>
    </w:p>
    <w:p>
      <w:pPr>
        <w:sectPr>
          <w:pgSz w:w="11900" w:h="16838" w:orient="portrait"/>
          <w:cols w:equalWidth="0" w:num="1">
            <w:col w:w="11240"/>
          </w:cols>
          <w:pgMar w:left="320" w:top="123"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1845" cy="317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41845" cy="31750"/>
                    </a:xfrm>
                    <a:prstGeom prst="rect">
                      <a:avLst/>
                    </a:prstGeom>
                    <a:noFill/>
                  </pic:spPr>
                </pic:pic>
              </a:graphicData>
            </a:graphic>
          </wp:anchor>
        </w:drawing>
        <w:t>Exhibit 23.1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06"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7"/>
          <w:szCs w:val="17"/>
          <w:color w:val="auto"/>
        </w:rPr>
        <w:t>We hereby consent to the incorporation by reference in this Registration Statement on Form F-3 of GH Research PLC of our report dated March 5, 2026 relating to the financial statements, which appears in GH Research PLC’s Annual Report on Form 20-F for the year ended December 31, 2025. We also consent to the reference to us under the heading “Experts” in such Registration Statement.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Dublin, Ireland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433070</wp:posOffset>
            </wp:positionV>
            <wp:extent cx="7141845"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9" w:name="page60"/>
    <w:bookmarkEnd w:id="59"/>
    <w:p>
      <w:pPr>
        <w:ind w:left="104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1845" cy="317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41845" cy="31750"/>
                    </a:xfrm>
                    <a:prstGeom prst="rect">
                      <a:avLst/>
                    </a:prstGeom>
                    <a:noFill/>
                  </pic:spPr>
                </pic:pic>
              </a:graphicData>
            </a:graphic>
          </wp:anchor>
        </w:drawing>
        <w:t>Exhibit 107</w:t>
      </w:r>
    </w:p>
    <w:p>
      <w:pPr>
        <w:spacing w:after="0" w:line="1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CALCULATION OF FILING FEE TABLE</w:t>
      </w:r>
    </w:p>
    <w:p>
      <w:pPr>
        <w:spacing w:after="0" w:line="1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Form F-3</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(Form Type)</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GH Research PLC</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Table 1: Newly Registered and Carry Forward Securities</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860" w:type="dxa"/>
            <w:vAlign w:val="bottom"/>
            <w:tcBorders>
              <w:top w:val="single" w:sz="8" w:color="auto"/>
              <w:left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Filing Fee</w:t>
            </w:r>
          </w:p>
        </w:tc>
      </w:tr>
      <w:tr>
        <w:trPr>
          <w:trHeight w:val="201"/>
        </w:trPr>
        <w:tc>
          <w:tcPr>
            <w:tcW w:w="860" w:type="dxa"/>
            <w:vAlign w:val="bottom"/>
            <w:tcBorders>
              <w:left w:val="single" w:sz="8" w:color="auto"/>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Previously</w:t>
            </w:r>
          </w:p>
        </w:tc>
      </w:tr>
      <w:tr>
        <w:trPr>
          <w:trHeight w:val="201"/>
        </w:trPr>
        <w:tc>
          <w:tcPr>
            <w:tcW w:w="860" w:type="dxa"/>
            <w:vAlign w:val="bottom"/>
            <w:tcBorders>
              <w:left w:val="single" w:sz="8" w:color="auto"/>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Paid in</w:t>
            </w:r>
          </w:p>
        </w:tc>
      </w:tr>
      <w:tr>
        <w:trPr>
          <w:trHeight w:val="201"/>
        </w:trPr>
        <w:tc>
          <w:tcPr>
            <w:tcW w:w="860" w:type="dxa"/>
            <w:vAlign w:val="bottom"/>
            <w:tcBorders>
              <w:left w:val="single" w:sz="8" w:color="auto"/>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Connection</w:t>
            </w:r>
          </w:p>
        </w:tc>
      </w:tr>
      <w:tr>
        <w:trPr>
          <w:trHeight w:val="201"/>
        </w:trPr>
        <w:tc>
          <w:tcPr>
            <w:tcW w:w="860" w:type="dxa"/>
            <w:vAlign w:val="bottom"/>
            <w:tcBorders>
              <w:left w:val="single" w:sz="8" w:color="auto"/>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with</w:t>
            </w:r>
          </w:p>
        </w:tc>
      </w:tr>
      <w:tr>
        <w:trPr>
          <w:trHeight w:val="201"/>
        </w:trPr>
        <w:tc>
          <w:tcPr>
            <w:tcW w:w="860" w:type="dxa"/>
            <w:vAlign w:val="bottom"/>
            <w:tcBorders>
              <w:left w:val="single" w:sz="8" w:color="auto"/>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Fee</w:t>
            </w: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Proposed</w:t>
            </w: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Unsold</w:t>
            </w:r>
          </w:p>
        </w:tc>
      </w:tr>
      <w:tr>
        <w:trPr>
          <w:trHeight w:val="201"/>
        </w:trPr>
        <w:tc>
          <w:tcPr>
            <w:tcW w:w="860" w:type="dxa"/>
            <w:vAlign w:val="bottom"/>
            <w:tcBorders>
              <w:left w:val="single" w:sz="8" w:color="auto"/>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Calculation</w:t>
            </w: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Maximum</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Maximum</w:t>
            </w:r>
          </w:p>
        </w:tc>
        <w:tc>
          <w:tcPr>
            <w:tcW w:w="8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Carry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Forward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Securities</w:t>
            </w:r>
          </w:p>
        </w:tc>
      </w:tr>
      <w:tr>
        <w:trPr>
          <w:trHeight w:val="201"/>
        </w:trPr>
        <w:tc>
          <w:tcPr>
            <w:tcW w:w="860" w:type="dxa"/>
            <w:vAlign w:val="bottom"/>
            <w:tcBorders>
              <w:left w:val="single" w:sz="8" w:color="auto"/>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or Carry</w:t>
            </w: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Offering</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8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Amount of</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Forward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Initial</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to be</w:t>
            </w:r>
          </w:p>
        </w:tc>
      </w:tr>
      <w:tr>
        <w:trPr>
          <w:trHeight w:val="201"/>
        </w:trPr>
        <w:tc>
          <w:tcPr>
            <w:tcW w:w="860" w:type="dxa"/>
            <w:vAlign w:val="bottom"/>
            <w:tcBorders>
              <w:left w:val="single" w:sz="8" w:color="auto"/>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Security</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Price Per</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Offering</w:t>
            </w:r>
          </w:p>
        </w:tc>
        <w:tc>
          <w:tcPr>
            <w:tcW w:w="8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Registration</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File</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Effective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Carried</w:t>
            </w:r>
          </w:p>
        </w:tc>
      </w:tr>
      <w:tr>
        <w:trPr>
          <w:trHeight w:val="246"/>
        </w:trPr>
        <w:tc>
          <w:tcPr>
            <w:tcW w:w="860" w:type="dxa"/>
            <w:vAlign w:val="bottom"/>
            <w:tcBorders>
              <w:left w:val="single" w:sz="8" w:color="auto"/>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Type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Class Title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Rule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Registered</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Unit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Price</w:t>
            </w:r>
          </w:p>
        </w:tc>
        <w:tc>
          <w:tcPr>
            <w:tcW w:w="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Fee Rate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Fee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Forward</w:t>
            </w:r>
          </w:p>
        </w:tc>
      </w:tr>
      <w:tr>
        <w:trPr>
          <w:trHeight w:val="193"/>
        </w:trPr>
        <w:tc>
          <w:tcPr>
            <w:tcW w:w="860" w:type="dxa"/>
            <w:vAlign w:val="bottom"/>
            <w:tcBorders>
              <w:left w:val="single" w:sz="8" w:color="auto"/>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ind w:left="360"/>
              <w:spacing w:after="0" w:line="194" w:lineRule="exact"/>
              <w:rPr>
                <w:sz w:val="20"/>
                <w:szCs w:val="20"/>
                <w:color w:val="auto"/>
              </w:rPr>
            </w:pPr>
            <w:r>
              <w:rPr>
                <w:rFonts w:ascii="Times New Roman" w:cs="Times New Roman" w:eastAsia="Times New Roman" w:hAnsi="Times New Roman"/>
                <w:sz w:val="17"/>
                <w:szCs w:val="17"/>
                <w:b w:val="1"/>
                <w:bCs w:val="1"/>
                <w:color w:val="auto"/>
              </w:rPr>
              <w:t>Newly Registered Securities</w:t>
            </w:r>
          </w:p>
        </w:tc>
        <w:tc>
          <w:tcPr>
            <w:tcW w:w="10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r>
      <w:tr>
        <w:trPr>
          <w:trHeight w:val="202"/>
        </w:trPr>
        <w:tc>
          <w:tcPr>
            <w:tcW w:w="86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86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Ordinary</w:t>
            </w:r>
          </w:p>
        </w:tc>
        <w:tc>
          <w:tcPr>
            <w:tcW w:w="88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47"/>
        </w:trPr>
        <w:tc>
          <w:tcPr>
            <w:tcW w:w="86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Shares</w:t>
            </w:r>
          </w:p>
        </w:tc>
        <w:tc>
          <w:tcPr>
            <w:tcW w:w="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457(o)</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0"/>
              </w:rPr>
              <w:t>(1)</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0"/>
              </w:rPr>
              <w:t>(1)</w:t>
            </w:r>
          </w:p>
        </w:tc>
        <w:tc>
          <w:tcPr>
            <w:tcW w:w="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02"/>
        </w:trPr>
        <w:tc>
          <w:tcPr>
            <w:tcW w:w="8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860" w:type="dxa"/>
            <w:vAlign w:val="bottom"/>
            <w:tcBorders>
              <w:top w:val="single" w:sz="8" w:color="auto"/>
              <w:right w:val="single" w:sz="8" w:color="auto"/>
            </w:tcBorders>
          </w:tcPr>
          <w:p>
            <w:pPr>
              <w:spacing w:after="0"/>
              <w:rPr>
                <w:sz w:val="17"/>
                <w:szCs w:val="17"/>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Debt</w:t>
            </w:r>
          </w:p>
        </w:tc>
        <w:tc>
          <w:tcPr>
            <w:tcW w:w="88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spacing w:after="0"/>
              <w:rPr>
                <w:sz w:val="17"/>
                <w:szCs w:val="17"/>
                <w:color w:val="auto"/>
              </w:rPr>
            </w:pPr>
          </w:p>
        </w:tc>
        <w:tc>
          <w:tcPr>
            <w:tcW w:w="108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r>
      <w:tr>
        <w:trPr>
          <w:trHeight w:val="217"/>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Debt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Securities</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457(o)</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0"/>
              </w:rPr>
              <w:t>(1)</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0"/>
              </w:rPr>
              <w:t>(1)</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5"/>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02"/>
        </w:trPr>
        <w:tc>
          <w:tcPr>
            <w:tcW w:w="86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86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47"/>
        </w:trPr>
        <w:tc>
          <w:tcPr>
            <w:tcW w:w="86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Other</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Warrants</w:t>
            </w:r>
          </w:p>
        </w:tc>
        <w:tc>
          <w:tcPr>
            <w:tcW w:w="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457(o)</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0"/>
              </w:rPr>
              <w:t>(1)</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0"/>
              </w:rPr>
              <w:t>(1)</w:t>
            </w:r>
          </w:p>
        </w:tc>
        <w:tc>
          <w:tcPr>
            <w:tcW w:w="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02"/>
        </w:trPr>
        <w:tc>
          <w:tcPr>
            <w:tcW w:w="8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860" w:type="dxa"/>
            <w:vAlign w:val="bottom"/>
            <w:tcBorders>
              <w:top w:val="single" w:sz="8" w:color="auto"/>
              <w:right w:val="single" w:sz="8" w:color="auto"/>
            </w:tcBorders>
          </w:tcPr>
          <w:p>
            <w:pPr>
              <w:spacing w:after="0"/>
              <w:rPr>
                <w:sz w:val="17"/>
                <w:szCs w:val="17"/>
                <w:color w:val="auto"/>
              </w:rPr>
            </w:pPr>
          </w:p>
        </w:tc>
        <w:tc>
          <w:tcPr>
            <w:tcW w:w="90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spacing w:after="0"/>
              <w:rPr>
                <w:sz w:val="17"/>
                <w:szCs w:val="17"/>
                <w:color w:val="auto"/>
              </w:rPr>
            </w:pPr>
          </w:p>
        </w:tc>
        <w:tc>
          <w:tcPr>
            <w:tcW w:w="108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r>
      <w:tr>
        <w:trPr>
          <w:trHeight w:val="217"/>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Other</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Units</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457(o)</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0"/>
              </w:rPr>
              <w:t>(1)</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0"/>
              </w:rPr>
              <w:t>(1)</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5"/>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02"/>
        </w:trPr>
        <w:tc>
          <w:tcPr>
            <w:tcW w:w="86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86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Subscription</w:t>
            </w:r>
          </w:p>
        </w:tc>
        <w:tc>
          <w:tcPr>
            <w:tcW w:w="88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47"/>
        </w:trPr>
        <w:tc>
          <w:tcPr>
            <w:tcW w:w="86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Other</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Rights</w:t>
            </w:r>
          </w:p>
        </w:tc>
        <w:tc>
          <w:tcPr>
            <w:tcW w:w="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457(o)</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0"/>
              </w:rPr>
              <w:t>(1)</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0"/>
              </w:rPr>
              <w:t>(1)</w:t>
            </w:r>
          </w:p>
        </w:tc>
        <w:tc>
          <w:tcPr>
            <w:tcW w:w="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02"/>
        </w:trPr>
        <w:tc>
          <w:tcPr>
            <w:tcW w:w="860" w:type="dxa"/>
            <w:vAlign w:val="bottom"/>
            <w:tcBorders>
              <w:top w:val="single" w:sz="8" w:color="auto"/>
              <w:left w:val="single" w:sz="8" w:color="auto"/>
              <w:right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Unallocated</w:t>
            </w:r>
          </w:p>
        </w:tc>
        <w:tc>
          <w:tcPr>
            <w:tcW w:w="90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spacing w:after="0"/>
              <w:rPr>
                <w:sz w:val="17"/>
                <w:szCs w:val="17"/>
                <w:color w:val="auto"/>
              </w:rPr>
            </w:pPr>
          </w:p>
        </w:tc>
        <w:tc>
          <w:tcPr>
            <w:tcW w:w="108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r>
      <w:tr>
        <w:trPr>
          <w:trHeight w:val="201"/>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(Universal)</w:t>
            </w:r>
          </w:p>
        </w:tc>
        <w:tc>
          <w:tcPr>
            <w:tcW w:w="9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17"/>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4"/>
              </w:rPr>
              <w:t>Shelf</w:t>
            </w:r>
          </w:p>
        </w:tc>
        <w:tc>
          <w:tcPr>
            <w:tcW w:w="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457(o)</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0"/>
              </w:rPr>
              <w:t>(1)</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$400,000,000</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0.00013810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$55,240.00</w:t>
            </w:r>
          </w:p>
        </w:tc>
        <w:tc>
          <w:tcPr>
            <w:tcW w:w="8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5"/>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02"/>
        </w:trPr>
        <w:tc>
          <w:tcPr>
            <w:tcW w:w="86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Fees</w:t>
            </w:r>
          </w:p>
        </w:tc>
        <w:tc>
          <w:tcPr>
            <w:tcW w:w="86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01"/>
        </w:trPr>
        <w:tc>
          <w:tcPr>
            <w:tcW w:w="86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8"/>
              </w:rPr>
              <w:t>Previously</w:t>
            </w:r>
          </w:p>
        </w:tc>
        <w:tc>
          <w:tcPr>
            <w:tcW w:w="86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47"/>
        </w:trPr>
        <w:tc>
          <w:tcPr>
            <w:tcW w:w="86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18"/>
        </w:trPr>
        <w:tc>
          <w:tcPr>
            <w:tcW w:w="860" w:type="dxa"/>
            <w:vAlign w:val="bottom"/>
            <w:tcBorders>
              <w:top w:val="single" w:sz="8" w:color="auto"/>
              <w:left w:val="single" w:sz="8" w:color="auto"/>
              <w:right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0" w:type="dxa"/>
            <w:vAlign w:val="bottom"/>
            <w:tcBorders>
              <w:top w:val="single" w:sz="8" w:color="auto"/>
              <w:right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Total Offering Amounts</w:t>
            </w:r>
          </w:p>
        </w:tc>
        <w:tc>
          <w:tcPr>
            <w:tcW w:w="800" w:type="dxa"/>
            <w:vAlign w:val="bottom"/>
            <w:tcBorders>
              <w:top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$400,000,000</w:t>
            </w:r>
          </w:p>
        </w:tc>
        <w:tc>
          <w:tcPr>
            <w:tcW w:w="84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$55,240.00</w:t>
            </w:r>
          </w:p>
        </w:tc>
        <w:tc>
          <w:tcPr>
            <w:tcW w:w="82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r>
      <w:tr>
        <w:trPr>
          <w:trHeight w:val="25"/>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48"/>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shd w:val="clear" w:color="auto" w:fill="CCEEFF"/>
          </w:tcPr>
          <w:p>
            <w:pPr>
              <w:spacing w:after="0"/>
              <w:rPr>
                <w:sz w:val="21"/>
                <w:szCs w:val="21"/>
                <w:color w:val="auto"/>
              </w:rPr>
            </w:pPr>
          </w:p>
        </w:tc>
        <w:tc>
          <w:tcPr>
            <w:tcW w:w="2600" w:type="dxa"/>
            <w:vAlign w:val="bottom"/>
            <w:tcBorders>
              <w:bottom w:val="single" w:sz="8" w:color="CCEEFF"/>
              <w:right w:val="single" w:sz="8" w:color="auto"/>
            </w:tcBorders>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Total Fees Previously Paid</w:t>
            </w:r>
          </w:p>
        </w:tc>
        <w:tc>
          <w:tcPr>
            <w:tcW w:w="800" w:type="dxa"/>
            <w:vAlign w:val="bottom"/>
            <w:tcBorders>
              <w:bottom w:val="single" w:sz="8" w:color="CCEEFF"/>
              <w:right w:val="single" w:sz="8" w:color="auto"/>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18"/>
        </w:trPr>
        <w:tc>
          <w:tcPr>
            <w:tcW w:w="860" w:type="dxa"/>
            <w:vAlign w:val="bottom"/>
            <w:tcBorders>
              <w:top w:val="single" w:sz="8" w:color="auto"/>
              <w:left w:val="single" w:sz="8" w:color="auto"/>
              <w:right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700" w:type="dxa"/>
            <w:vAlign w:val="bottom"/>
            <w:tcBorders>
              <w:top w:val="single" w:sz="8" w:color="auto"/>
              <w:right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Total Fee Offsets</w:t>
            </w:r>
          </w:p>
        </w:tc>
        <w:tc>
          <w:tcPr>
            <w:tcW w:w="800" w:type="dxa"/>
            <w:vAlign w:val="bottom"/>
            <w:tcBorders>
              <w:top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82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r>
      <w:tr>
        <w:trPr>
          <w:trHeight w:val="25"/>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3"/>
        </w:trPr>
        <w:tc>
          <w:tcPr>
            <w:tcW w:w="86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860" w:type="dxa"/>
            <w:vAlign w:val="bottom"/>
            <w:tcBorders>
              <w:bottom w:val="single" w:sz="8" w:color="CCEEFF"/>
              <w:right w:val="single" w:sz="8" w:color="CCEEFF"/>
            </w:tcBorders>
            <w:shd w:val="clear" w:color="auto" w:fill="CCEEFF"/>
          </w:tcPr>
          <w:p>
            <w:pPr>
              <w:spacing w:after="0"/>
              <w:rPr>
                <w:sz w:val="19"/>
                <w:szCs w:val="19"/>
                <w:color w:val="auto"/>
              </w:rPr>
            </w:pPr>
          </w:p>
        </w:tc>
        <w:tc>
          <w:tcPr>
            <w:tcW w:w="900" w:type="dxa"/>
            <w:vAlign w:val="bottom"/>
            <w:tcBorders>
              <w:bottom w:val="single" w:sz="8" w:color="CCEEFF"/>
              <w:right w:val="single" w:sz="8" w:color="CCEEFF"/>
            </w:tcBorders>
            <w:shd w:val="clear" w:color="auto" w:fill="CCEEFF"/>
          </w:tcPr>
          <w:p>
            <w:pPr>
              <w:spacing w:after="0"/>
              <w:rPr>
                <w:sz w:val="19"/>
                <w:szCs w:val="19"/>
                <w:color w:val="auto"/>
              </w:rPr>
            </w:pPr>
          </w:p>
        </w:tc>
        <w:tc>
          <w:tcPr>
            <w:tcW w:w="1700" w:type="dxa"/>
            <w:vAlign w:val="bottom"/>
            <w:tcBorders>
              <w:bottom w:val="single" w:sz="8" w:color="CCEEFF"/>
              <w:right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Net Fee Due</w:t>
            </w:r>
          </w:p>
        </w:tc>
        <w:tc>
          <w:tcPr>
            <w:tcW w:w="800" w:type="dxa"/>
            <w:vAlign w:val="bottom"/>
            <w:tcBorders>
              <w:bottom w:val="single" w:sz="8" w:color="CCEEFF"/>
              <w:right w:val="single" w:sz="8" w:color="auto"/>
            </w:tcBorders>
            <w:shd w:val="clear" w:color="auto" w:fill="CCEEFF"/>
          </w:tcPr>
          <w:p>
            <w:pPr>
              <w:spacing w:after="0"/>
              <w:rPr>
                <w:sz w:val="19"/>
                <w:szCs w:val="19"/>
                <w:color w:val="auto"/>
              </w:rPr>
            </w:pPr>
          </w:p>
        </w:tc>
        <w:tc>
          <w:tcPr>
            <w:tcW w:w="960" w:type="dxa"/>
            <w:vAlign w:val="bottom"/>
            <w:tcBorders>
              <w:bottom w:val="single" w:sz="8" w:color="CCEEFF"/>
              <w:right w:val="single" w:sz="8" w:color="auto"/>
            </w:tcBorders>
            <w:shd w:val="clear" w:color="auto" w:fill="CCEEFF"/>
          </w:tcPr>
          <w:p>
            <w:pPr>
              <w:spacing w:after="0"/>
              <w:rPr>
                <w:sz w:val="19"/>
                <w:szCs w:val="19"/>
                <w:color w:val="auto"/>
              </w:rPr>
            </w:pPr>
          </w:p>
        </w:tc>
        <w:tc>
          <w:tcPr>
            <w:tcW w:w="840" w:type="dxa"/>
            <w:vAlign w:val="bottom"/>
            <w:tcBorders>
              <w:bottom w:val="single" w:sz="8" w:color="CCEEFF"/>
              <w:right w:val="single" w:sz="8" w:color="auto"/>
            </w:tcBorders>
            <w:shd w:val="clear" w:color="auto" w:fill="CCEEFF"/>
          </w:tcPr>
          <w:p>
            <w:pPr>
              <w:spacing w:after="0"/>
              <w:rPr>
                <w:sz w:val="19"/>
                <w:szCs w:val="19"/>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$55,240.00</w:t>
            </w:r>
          </w:p>
        </w:tc>
        <w:tc>
          <w:tcPr>
            <w:tcW w:w="820" w:type="dxa"/>
            <w:vAlign w:val="bottom"/>
            <w:tcBorders>
              <w:bottom w:val="single" w:sz="8" w:color="CCEEFF"/>
              <w:right w:val="single" w:sz="8" w:color="auto"/>
            </w:tcBorders>
            <w:shd w:val="clear" w:color="auto" w:fill="CCEEFF"/>
          </w:tcPr>
          <w:p>
            <w:pPr>
              <w:spacing w:after="0"/>
              <w:rPr>
                <w:sz w:val="19"/>
                <w:szCs w:val="19"/>
                <w:color w:val="auto"/>
              </w:rPr>
            </w:pPr>
          </w:p>
        </w:tc>
        <w:tc>
          <w:tcPr>
            <w:tcW w:w="840" w:type="dxa"/>
            <w:vAlign w:val="bottom"/>
            <w:tcBorders>
              <w:bottom w:val="single" w:sz="8" w:color="CCEEFF"/>
              <w:right w:val="single" w:sz="8" w:color="auto"/>
            </w:tcBorders>
            <w:shd w:val="clear" w:color="auto" w:fill="CCEEFF"/>
          </w:tcPr>
          <w:p>
            <w:pPr>
              <w:spacing w:after="0"/>
              <w:rPr>
                <w:sz w:val="19"/>
                <w:szCs w:val="19"/>
                <w:color w:val="auto"/>
              </w:rPr>
            </w:pPr>
          </w:p>
        </w:tc>
        <w:tc>
          <w:tcPr>
            <w:tcW w:w="820" w:type="dxa"/>
            <w:vAlign w:val="bottom"/>
            <w:tcBorders>
              <w:bottom w:val="single" w:sz="8" w:color="CCEEFF"/>
              <w:right w:val="single" w:sz="8" w:color="auto"/>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0"/>
        </w:trPr>
        <w:tc>
          <w:tcPr>
            <w:tcW w:w="8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r>
    </w:tbl>
    <w:p>
      <w:pPr>
        <w:spacing w:after="0" w:line="9" w:lineRule="exact"/>
        <w:rPr>
          <w:sz w:val="20"/>
          <w:szCs w:val="20"/>
          <w:color w:val="auto"/>
        </w:rPr>
      </w:pPr>
    </w:p>
    <w:p>
      <w:pPr>
        <w:ind w:left="300" w:right="500" w:hanging="300"/>
        <w:spacing w:after="0" w:line="272"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to be registered consists of up to $400,000,000 of an indeterminate amount of ordinary shares, debt securities, warrants, units and/or subscription rights that may be offered and sold from time to time in one or more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141845"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sectPr>
      <w:pgSz w:w="11900" w:h="16838" w:orient="portrait"/>
      <w:cols w:equalWidth="0" w:num="1">
        <w:col w:w="11340"/>
      </w:cols>
      <w:pgMar w:left="320" w:top="2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lowerRoman"/>
      <w:start w:val="2"/>
    </w:lvl>
  </w:abstractNum>
  <w:abstractNum w:abstractNumId="9">
    <w:nsid w:val="62BBD95A"/>
    <w:multiLevelType w:val="hybridMultilevel"/>
    <w:lvl w:ilvl="0">
      <w:lvlJc w:val="left"/>
      <w:lvlText w:val="(%1)"/>
      <w:numFmt w:val="lowerRoman"/>
      <w:start w:val="1"/>
    </w:lvl>
  </w:abstractNum>
  <w:abstractNum w:abstractNumId="10">
    <w:nsid w:val="436C6125"/>
    <w:multiLevelType w:val="hybridMultilevel"/>
    <w:lvl w:ilvl="0">
      <w:lvlJc w:val="left"/>
      <w:lvlText w:val="(%1)"/>
      <w:numFmt w:val="lowerRoman"/>
      <w:start w:val="1"/>
    </w:lvl>
  </w:abstractNum>
  <w:abstractNum w:abstractNumId="11">
    <w:nsid w:val="628C895D"/>
    <w:multiLevelType w:val="hybridMultilevel"/>
    <w:lvl w:ilvl="0">
      <w:lvlJc w:val="left"/>
      <w:lvlText w:val="(%1)"/>
      <w:numFmt w:val="lowerLetter"/>
      <w:start w:val="1"/>
    </w:lvl>
    <w:lvl w:ilvl="1">
      <w:lvlJc w:val="left"/>
      <w:lvlText w:val="(%2)"/>
      <w:numFmt w:val="lowerRoman"/>
      <w:start w:val="1"/>
    </w:lvl>
  </w:abstractNum>
  <w:abstractNum w:abstractNumId="12">
    <w:nsid w:val="333AB105"/>
    <w:multiLevelType w:val="hybridMultilevel"/>
    <w:lvl w:ilvl="0">
      <w:lvlJc w:val="left"/>
      <w:lvlText w:val="(%1)"/>
      <w:numFmt w:val="lowerRoman"/>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lowerLetter"/>
      <w:start w:val="1"/>
    </w:lvl>
    <w:lvl w:ilvl="1">
      <w:lvlJc w:val="left"/>
      <w:lvlText w:val="(%2)"/>
      <w:numFmt w:val="decimal"/>
      <w:start w:val="1"/>
    </w:lvl>
  </w:abstractNum>
  <w:abstractNum w:abstractNumId="20">
    <w:nsid w:val="4353D0CD"/>
    <w:multiLevelType w:val="hybridMultilevel"/>
    <w:lvl w:ilvl="0">
      <w:lvlJc w:val="left"/>
      <w:lvlText w:val="(%1)"/>
      <w:numFmt w:val="lowerLetter"/>
      <w:start w:val="2"/>
    </w:lvl>
  </w:abstractNum>
  <w:abstractNum w:abstractNumId="21">
    <w:nsid w:val="B03E0C6"/>
    <w:multiLevelType w:val="hybridMultilevel"/>
    <w:lvl w:ilvl="0">
      <w:lvlJc w:val="left"/>
      <w:lvlText w:val="(%1)"/>
      <w:numFmt w:val="lowerLetter"/>
      <w:start w:val="3"/>
    </w:lvl>
    <w:lvl w:ilvl="1">
      <w:lvlJc w:val="left"/>
      <w:lvlText w:val="(%2)"/>
      <w:numFmt w:val="decimal"/>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bullet"/>
      <w:start w:val="1"/>
    </w:lvl>
  </w:abstractNum>
  <w:abstractNum w:abstractNumId="25">
    <w:nsid w:val="2CA88611"/>
    <w:multiLevelType w:val="hybridMultilevel"/>
    <w:lvl w:ilvl="0">
      <w:lvlJc w:val="left"/>
      <w:lvlText w:val="2"/>
      <w:numFmt w:val="bullet"/>
      <w:start w:val="1"/>
    </w:lvl>
  </w:abstractNum>
  <w:abstractNum w:abstractNumId="26">
    <w:nsid w:val="836C40E"/>
    <w:multiLevelType w:val="hybridMultilevel"/>
    <w:lvl w:ilvl="0">
      <w:lvlJc w:val="left"/>
      <w:lvlText w:val="3"/>
      <w:numFmt w:val="bullet"/>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2"/>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jpe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jpe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jpeg"/><Relationship Id="rId105" Type="http://schemas.openxmlformats.org/officeDocument/2006/relationships/image" Target="media/image93.png"/><Relationship Id="rId106" Type="http://schemas.openxmlformats.org/officeDocument/2006/relationships/image" Target="media/image94.jpeg"/><Relationship Id="rId107" Type="http://schemas.openxmlformats.org/officeDocument/2006/relationships/image" Target="media/image95.png"/><Relationship Id="rId108" Type="http://schemas.openxmlformats.org/officeDocument/2006/relationships/image" Target="media/image96.jpe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jpe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78" Type="http://schemas.openxmlformats.org/officeDocument/2006/relationships/hyperlink" Target="https://www.sec.gov/ix?doc=/Archives/edgar/data/1855129/000114036126007986/ef20059887_20f.htm" TargetMode="External"/><Relationship Id="rId79" Type="http://schemas.openxmlformats.org/officeDocument/2006/relationships/hyperlink" Target="https://www.sec.gov/ix?doc=/Archives/edgar/data/1855129/000114036126021153/ef20070494_6k.htm" TargetMode="External"/><Relationship Id="rId80" Type="http://schemas.openxmlformats.org/officeDocument/2006/relationships/hyperlink" Target="https://www.sec.gov/Archives/edgar/data/1855129/000114036126007986/ef20059887_ex2-1.htm" TargetMode="External"/><Relationship Id="rId91" Type="http://schemas.openxmlformats.org/officeDocument/2006/relationships/hyperlink" Target="https://www.sec.gov/Archives/edgar/data/1855129/000114036123010814/brhc10049341_ex1-1.htm" TargetMode="External"/><Relationship Id="rId92" Type="http://schemas.openxmlformats.org/officeDocument/2006/relationships/hyperlink" Target="https://www.sec.gov/Archives/edgar/data/1855129/000095010323003906/dp190353_ex04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2026-05-14T08:22:13Z</dcterms:created>
  <dcterms:modified xsi:type="dcterms:W3CDTF">2026-05-14T08:22:13Z</dcterms:modified>
</cp:coreProperties>
</file>