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134620</wp:posOffset>
            </wp:positionV>
            <wp:extent cx="717804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214630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REPORT OF FOREIGN PRIVATE ISSUER PURSUANT TO RULE 13a-16 OR 15d-16 UNDER THE SECURITIES EXCHANGE ACT OF 1934</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For the month of May, 2026.</w:t>
      </w:r>
    </w:p>
    <w:p>
      <w:pPr>
        <w:spacing w:after="0" w:line="1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Commission File Number: 001-40530</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GH Research PLC</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Joshua Dawson House</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Dawson Street</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Dublin 2</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D02 RY95</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Ireland</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Indicate by check mark whether the registrant files or will file annual reports under cover of Form 20-F or Form 40-F:</w:t>
      </w:r>
    </w:p>
    <w:p>
      <w:pPr>
        <w:spacing w:after="0" w:line="122" w:lineRule="exact"/>
        <w:rPr>
          <w:sz w:val="24"/>
          <w:szCs w:val="24"/>
          <w:color w:val="auto"/>
        </w:rPr>
      </w:pPr>
    </w:p>
    <w:p>
      <w:pPr>
        <w:ind w:left="2680"/>
        <w:spacing w:after="0" w:line="138" w:lineRule="exact"/>
        <w:tabs>
          <w:tab w:leader="none" w:pos="3760" w:val="left"/>
          <w:tab w:leader="none" w:pos="5140" w:val="left"/>
          <w:tab w:leader="none" w:pos="6240" w:val="left"/>
        </w:tabs>
        <w:rPr>
          <w:sz w:val="20"/>
          <w:szCs w:val="20"/>
          <w:color w:val="auto"/>
        </w:rPr>
      </w:pPr>
      <w:r>
        <w:rPr>
          <w:rFonts w:ascii="Times New Roman" w:cs="Times New Roman" w:eastAsia="Times New Roman" w:hAnsi="Times New Roman"/>
          <w:sz w:val="12"/>
          <w:szCs w:val="12"/>
          <w:color w:val="auto"/>
        </w:rPr>
        <w:t>Form 20-F</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2"/>
          <w:szCs w:val="12"/>
          <w:color w:val="auto"/>
        </w:rPr>
        <w:t>Form 40-F</w:t>
      </w:r>
      <w:r>
        <w:rPr>
          <w:sz w:val="20"/>
          <w:szCs w:val="20"/>
          <w:color w:val="auto"/>
        </w:rPr>
        <w:tab/>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3797300</wp:posOffset>
            </wp:positionH>
            <wp:positionV relativeFrom="paragraph">
              <wp:posOffset>34290</wp:posOffset>
            </wp:positionV>
            <wp:extent cx="428625"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625" cy="11430"/>
                    </a:xfrm>
                    <a:prstGeom prst="rect">
                      <a:avLst/>
                    </a:prstGeom>
                    <a:noFill/>
                  </pic:spPr>
                </pic:pic>
              </a:graphicData>
            </a:graphic>
          </wp:anchor>
        </w:drawing>
        <w:drawing>
          <wp:anchor simplePos="0" relativeHeight="251657728" behindDoc="1" locked="0" layoutInCell="0" allowOverlap="1">
            <wp:simplePos x="0" y="0"/>
            <wp:positionH relativeFrom="column">
              <wp:posOffset>2219960</wp:posOffset>
            </wp:positionH>
            <wp:positionV relativeFrom="paragraph">
              <wp:posOffset>34290</wp:posOffset>
            </wp:positionV>
            <wp:extent cx="4343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4340" cy="1143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171450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234315</wp:posOffset>
            </wp:positionV>
            <wp:extent cx="7178040" cy="22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337185</wp:posOffset>
            </wp:positionV>
            <wp:extent cx="7178040"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9019"/>
          </w:cols>
          <w:pgMar w:left="1440" w:top="391"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2"/>
          <w:szCs w:val="12"/>
          <w:b w:val="1"/>
          <w:bCs w:val="1"/>
          <w:color w:val="auto"/>
        </w:rPr>
        <w:t>INFORMATION CONTAINED IN THIS REPORT ON FORM 6-K</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On May 14, 2026, GH Research PLC (the “Company”) reported its first quarter 2026 financial results, provided business updates, and made available an updated investor presentation on its website. A copy of the press release is exhibited hereto as Exhibit 99.3 and a copy of the investor presentation is attached hereto as Exhibit 99.4.</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fact that this press release and the investor presentation is being made available and furnished herewith should not be deemed an admission as to the materiality of any information contained in the materials. The information contained in the press release and investor presentation is being provided as of May 14, 2026, and the Company does not undertake any obligation to update the press release or the presentation in the future or to update forward-looking statements to reflect subsequent actual results.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INCORPORATION BY REFERENCE</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This Report on Form 6-K, (other than Exhibit 99.3 and Exhibit 99.4 hereto), including Exhibit 99.1 and Exhibit 99.2 hereto, shall be deemed to be incorporated by reference into the registration statement on Form S-8 (Registration Nos. 333-270422, 333-285311 and 333-294036) and the registration statement on Form F-3 (Registration No. 333-285310) of the Company and to be a part thereof from the date on which this report is filed, to the extent not superseded by documents or reports subsequently filed or furnished.</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59"/>
        </w:trPr>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340" w:type="dxa"/>
            <w:vAlign w:val="bottom"/>
          </w:tcPr>
          <w:p>
            <w:pPr>
              <w:ind w:left="4220"/>
              <w:spacing w:after="0"/>
              <w:rPr>
                <w:sz w:val="20"/>
                <w:szCs w:val="20"/>
                <w:color w:val="auto"/>
              </w:rPr>
            </w:pPr>
            <w:r>
              <w:rPr>
                <w:rFonts w:ascii="Times New Roman" w:cs="Times New Roman" w:eastAsia="Times New Roman" w:hAnsi="Times New Roman"/>
                <w:sz w:val="12"/>
                <w:szCs w:val="12"/>
                <w:b w:val="1"/>
                <w:bCs w:val="1"/>
                <w:color w:val="auto"/>
              </w:rPr>
              <w:t>EXHIBIT INDEX</w:t>
            </w:r>
          </w:p>
        </w:tc>
      </w:tr>
      <w:tr>
        <w:trPr>
          <w:trHeight w:val="288"/>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10340" w:type="dxa"/>
            <w:vAlign w:val="bottom"/>
          </w:tcPr>
          <w:p>
            <w:pPr>
              <w:ind w:left="40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17"/>
        </w:trPr>
        <w:tc>
          <w:tcPr>
            <w:tcW w:w="96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1</w:t>
            </w:r>
          </w:p>
        </w:tc>
        <w:tc>
          <w:tcPr>
            <w:tcW w:w="10340" w:type="dxa"/>
            <w:vAlign w:val="bottom"/>
            <w:shd w:val="clear" w:color="auto" w:fill="CCEEFF"/>
          </w:tcPr>
          <w:p>
            <w:pPr>
              <w:ind w:left="400"/>
              <w:spacing w:after="0" w:line="117" w:lineRule="exact"/>
              <w:rPr>
                <w:sz w:val="20"/>
                <w:szCs w:val="20"/>
                <w:color w:val="auto"/>
              </w:rPr>
            </w:pPr>
            <w:r>
              <w:rPr>
                <w:rFonts w:ascii="Times New Roman" w:cs="Times New Roman" w:eastAsia="Times New Roman" w:hAnsi="Times New Roman"/>
                <w:sz w:val="12"/>
                <w:szCs w:val="12"/>
                <w:color w:val="auto"/>
              </w:rPr>
              <w:t>Unaudited Condensed Consolidated Interim Financial Statements for the three months ended March 31, 2026</w:t>
            </w:r>
          </w:p>
        </w:tc>
      </w:tr>
      <w:tr>
        <w:trPr>
          <w:trHeight w:val="27"/>
        </w:trPr>
        <w:tc>
          <w:tcPr>
            <w:tcW w:w="200" w:type="dxa"/>
            <w:vAlign w:val="bottom"/>
            <w:shd w:val="clear" w:color="auto" w:fill="0000EE"/>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340" w:type="dxa"/>
            <w:vAlign w:val="bottom"/>
            <w:shd w:val="clear" w:color="auto" w:fill="CCEEFF"/>
          </w:tcPr>
          <w:p>
            <w:pPr>
              <w:spacing w:after="0"/>
              <w:rPr>
                <w:sz w:val="2"/>
                <w:szCs w:val="2"/>
                <w:color w:val="auto"/>
              </w:rPr>
            </w:pPr>
          </w:p>
        </w:tc>
      </w:tr>
      <w:tr>
        <w:trPr>
          <w:trHeight w:val="117"/>
        </w:trPr>
        <w:tc>
          <w:tcPr>
            <w:tcW w:w="960" w:type="dxa"/>
            <w:vAlign w:val="bottom"/>
            <w:gridSpan w:val="2"/>
          </w:tcPr>
          <w:p>
            <w:pPr>
              <w:spacing w:after="0" w:line="117" w:lineRule="exact"/>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2</w:t>
            </w:r>
          </w:p>
        </w:tc>
        <w:tc>
          <w:tcPr>
            <w:tcW w:w="10340" w:type="dxa"/>
            <w:vAlign w:val="bottom"/>
          </w:tcPr>
          <w:p>
            <w:pPr>
              <w:ind w:left="400"/>
              <w:spacing w:after="0" w:line="117" w:lineRule="exact"/>
              <w:rPr>
                <w:sz w:val="20"/>
                <w:szCs w:val="20"/>
                <w:color w:val="auto"/>
              </w:rPr>
            </w:pPr>
            <w:r>
              <w:rPr>
                <w:rFonts w:ascii="Times New Roman" w:cs="Times New Roman" w:eastAsia="Times New Roman" w:hAnsi="Times New Roman"/>
                <w:sz w:val="12"/>
                <w:szCs w:val="12"/>
                <w:color w:val="auto"/>
              </w:rPr>
              <w:t>Management’s Discussion and Analysis of Financial Condition and Results of Operations</w:t>
            </w:r>
          </w:p>
        </w:tc>
      </w:tr>
      <w:tr>
        <w:trPr>
          <w:trHeight w:val="27"/>
        </w:trPr>
        <w:tc>
          <w:tcPr>
            <w:tcW w:w="200" w:type="dxa"/>
            <w:vAlign w:val="bottom"/>
            <w:shd w:val="clear" w:color="auto" w:fill="0000EE"/>
          </w:tcPr>
          <w:p>
            <w:pPr>
              <w:spacing w:after="0"/>
              <w:rPr>
                <w:sz w:val="2"/>
                <w:szCs w:val="2"/>
                <w:color w:val="auto"/>
              </w:rPr>
            </w:pPr>
          </w:p>
        </w:tc>
        <w:tc>
          <w:tcPr>
            <w:tcW w:w="760" w:type="dxa"/>
            <w:vAlign w:val="bottom"/>
          </w:tcPr>
          <w:p>
            <w:pPr>
              <w:spacing w:after="0"/>
              <w:rPr>
                <w:sz w:val="2"/>
                <w:szCs w:val="2"/>
                <w:color w:val="auto"/>
              </w:rPr>
            </w:pPr>
          </w:p>
        </w:tc>
        <w:tc>
          <w:tcPr>
            <w:tcW w:w="10340" w:type="dxa"/>
            <w:vAlign w:val="bottom"/>
          </w:tcPr>
          <w:p>
            <w:pPr>
              <w:spacing w:after="0"/>
              <w:rPr>
                <w:sz w:val="2"/>
                <w:szCs w:val="2"/>
                <w:color w:val="auto"/>
              </w:rPr>
            </w:pPr>
          </w:p>
        </w:tc>
      </w:tr>
      <w:tr>
        <w:trPr>
          <w:trHeight w:val="117"/>
        </w:trPr>
        <w:tc>
          <w:tcPr>
            <w:tcW w:w="96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3</w:t>
            </w:r>
          </w:p>
        </w:tc>
        <w:tc>
          <w:tcPr>
            <w:tcW w:w="10340" w:type="dxa"/>
            <w:vAlign w:val="bottom"/>
            <w:shd w:val="clear" w:color="auto" w:fill="CCEEFF"/>
          </w:tcPr>
          <w:p>
            <w:pPr>
              <w:ind w:left="400"/>
              <w:spacing w:after="0" w:line="117" w:lineRule="exact"/>
              <w:rPr>
                <w:sz w:val="20"/>
                <w:szCs w:val="20"/>
                <w:color w:val="auto"/>
              </w:rPr>
            </w:pPr>
            <w:r>
              <w:rPr>
                <w:rFonts w:ascii="Times New Roman" w:cs="Times New Roman" w:eastAsia="Times New Roman" w:hAnsi="Times New Roman"/>
                <w:sz w:val="12"/>
                <w:szCs w:val="12"/>
                <w:color w:val="auto"/>
              </w:rPr>
              <w:t>Press release dated May 14, 2026</w:t>
            </w:r>
          </w:p>
        </w:tc>
      </w:tr>
      <w:tr>
        <w:trPr>
          <w:trHeight w:val="27"/>
        </w:trPr>
        <w:tc>
          <w:tcPr>
            <w:tcW w:w="200" w:type="dxa"/>
            <w:vAlign w:val="bottom"/>
            <w:shd w:val="clear" w:color="auto" w:fill="0000EE"/>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340" w:type="dxa"/>
            <w:vAlign w:val="bottom"/>
            <w:shd w:val="clear" w:color="auto" w:fill="CCEEFF"/>
          </w:tcPr>
          <w:p>
            <w:pPr>
              <w:spacing w:after="0"/>
              <w:rPr>
                <w:sz w:val="2"/>
                <w:szCs w:val="2"/>
                <w:color w:val="auto"/>
              </w:rPr>
            </w:pPr>
          </w:p>
        </w:tc>
      </w:tr>
      <w:tr>
        <w:trPr>
          <w:trHeight w:val="117"/>
        </w:trPr>
        <w:tc>
          <w:tcPr>
            <w:tcW w:w="960" w:type="dxa"/>
            <w:vAlign w:val="bottom"/>
            <w:gridSpan w:val="2"/>
          </w:tcPr>
          <w:p>
            <w:pPr>
              <w:spacing w:after="0" w:line="117" w:lineRule="exact"/>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4</w:t>
            </w:r>
          </w:p>
        </w:tc>
        <w:tc>
          <w:tcPr>
            <w:tcW w:w="10340" w:type="dxa"/>
            <w:vAlign w:val="bottom"/>
          </w:tcPr>
          <w:p>
            <w:pPr>
              <w:ind w:left="400"/>
              <w:spacing w:after="0" w:line="117" w:lineRule="exact"/>
              <w:rPr>
                <w:sz w:val="20"/>
                <w:szCs w:val="20"/>
                <w:color w:val="auto"/>
              </w:rPr>
            </w:pPr>
            <w:r>
              <w:rPr>
                <w:rFonts w:ascii="Times New Roman" w:cs="Times New Roman" w:eastAsia="Times New Roman" w:hAnsi="Times New Roman"/>
                <w:sz w:val="12"/>
                <w:szCs w:val="12"/>
                <w:color w:val="auto"/>
              </w:rPr>
              <w:t>Corporate Presentation for May 2026</w:t>
            </w:r>
          </w:p>
        </w:tc>
      </w:tr>
      <w:tr>
        <w:trPr>
          <w:trHeight w:val="27"/>
        </w:trPr>
        <w:tc>
          <w:tcPr>
            <w:tcW w:w="200" w:type="dxa"/>
            <w:vAlign w:val="bottom"/>
            <w:shd w:val="clear" w:color="auto" w:fill="0000EE"/>
          </w:tcPr>
          <w:p>
            <w:pPr>
              <w:spacing w:after="0"/>
              <w:rPr>
                <w:sz w:val="2"/>
                <w:szCs w:val="2"/>
                <w:color w:val="auto"/>
              </w:rPr>
            </w:pPr>
          </w:p>
        </w:tc>
        <w:tc>
          <w:tcPr>
            <w:tcW w:w="760" w:type="dxa"/>
            <w:vAlign w:val="bottom"/>
          </w:tcPr>
          <w:p>
            <w:pPr>
              <w:spacing w:after="0"/>
              <w:rPr>
                <w:sz w:val="2"/>
                <w:szCs w:val="2"/>
                <w:color w:val="auto"/>
              </w:rPr>
            </w:pPr>
          </w:p>
        </w:tc>
        <w:tc>
          <w:tcPr>
            <w:tcW w:w="10340" w:type="dxa"/>
            <w:vAlign w:val="bottom"/>
          </w:tcPr>
          <w:p>
            <w:pPr>
              <w:spacing w:after="0"/>
              <w:rPr>
                <w:sz w:val="2"/>
                <w:szCs w:val="2"/>
                <w:color w:val="auto"/>
              </w:rPr>
            </w:pPr>
          </w:p>
        </w:tc>
      </w:tr>
      <w:tr>
        <w:trPr>
          <w:trHeight w:val="144"/>
        </w:trPr>
        <w:tc>
          <w:tcPr>
            <w:tcW w:w="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101.INS</w:t>
            </w:r>
          </w:p>
        </w:tc>
        <w:tc>
          <w:tcPr>
            <w:tcW w:w="10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Inline XBRL Instance Document</w:t>
            </w:r>
          </w:p>
        </w:tc>
      </w:tr>
      <w:tr>
        <w:trPr>
          <w:trHeight w:val="144"/>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101.SCH</w:t>
            </w:r>
          </w:p>
        </w:tc>
        <w:tc>
          <w:tcPr>
            <w:tcW w:w="1034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Inline XBRL Taxonomy Extension Schema Document</w:t>
            </w:r>
          </w:p>
        </w:tc>
      </w:tr>
      <w:tr>
        <w:trPr>
          <w:trHeight w:val="144"/>
        </w:trPr>
        <w:tc>
          <w:tcPr>
            <w:tcW w:w="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101.CAL</w:t>
            </w:r>
          </w:p>
        </w:tc>
        <w:tc>
          <w:tcPr>
            <w:tcW w:w="10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Inline XBRL Taxonomy Extension Calculation Linkbase Document</w:t>
            </w:r>
          </w:p>
        </w:tc>
      </w:tr>
      <w:tr>
        <w:trPr>
          <w:trHeight w:val="144"/>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101.DEF</w:t>
            </w:r>
          </w:p>
        </w:tc>
        <w:tc>
          <w:tcPr>
            <w:tcW w:w="1034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Inline XBRL Taxonomy Extension Definition Linkbase Document</w:t>
            </w:r>
          </w:p>
        </w:tc>
      </w:tr>
      <w:tr>
        <w:trPr>
          <w:trHeight w:val="144"/>
        </w:trPr>
        <w:tc>
          <w:tcPr>
            <w:tcW w:w="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101.LAB</w:t>
            </w:r>
          </w:p>
        </w:tc>
        <w:tc>
          <w:tcPr>
            <w:tcW w:w="10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Inline XBRL Taxonomy Extension Label Linkbase Document</w:t>
            </w:r>
          </w:p>
        </w:tc>
      </w:tr>
      <w:tr>
        <w:trPr>
          <w:trHeight w:val="144"/>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101.PRE</w:t>
            </w:r>
          </w:p>
        </w:tc>
        <w:tc>
          <w:tcPr>
            <w:tcW w:w="1034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Inline XBRL Taxonomy Extension Presentation Linkbase Document</w:t>
            </w:r>
          </w:p>
        </w:tc>
      </w:tr>
      <w:tr>
        <w:trPr>
          <w:trHeight w:val="144"/>
        </w:trPr>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760" w:type="dxa"/>
            <w:vAlign w:val="bottom"/>
            <w:shd w:val="clear" w:color="auto" w:fill="CCEEFF"/>
          </w:tcPr>
          <w:p>
            <w:pPr>
              <w:spacing w:after="0"/>
              <w:rPr>
                <w:sz w:val="12"/>
                <w:szCs w:val="12"/>
                <w:color w:val="auto"/>
              </w:rPr>
            </w:pPr>
          </w:p>
        </w:tc>
        <w:tc>
          <w:tcPr>
            <w:tcW w:w="10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370"/>
        </w:trPr>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340" w:type="dxa"/>
            <w:vAlign w:val="bottom"/>
          </w:tcPr>
          <w:p>
            <w:pPr>
              <w:ind w:left="4660"/>
              <w:spacing w:after="0"/>
              <w:rPr>
                <w:sz w:val="20"/>
                <w:szCs w:val="20"/>
                <w:color w:val="auto"/>
              </w:rPr>
            </w:pPr>
            <w:r>
              <w:rPr>
                <w:rFonts w:ascii="Times New Roman" w:cs="Times New Roman" w:eastAsia="Times New Roman" w:hAnsi="Times New Roman"/>
                <w:sz w:val="10"/>
                <w:szCs w:val="10"/>
                <w:color w:val="auto"/>
              </w:rPr>
              <w:t>3</w:t>
            </w:r>
          </w:p>
        </w:tc>
      </w:tr>
      <w:tr>
        <w:trPr>
          <w:trHeight w:val="26"/>
        </w:trPr>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34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125" w:right="2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1300" w:type="dxa"/>
            <w:vAlign w:val="bottom"/>
            <w:gridSpan w:val="2"/>
          </w:tcPr>
          <w:p>
            <w:pPr>
              <w:ind w:left="5660"/>
              <w:spacing w:after="0"/>
              <w:rPr>
                <w:sz w:val="20"/>
                <w:szCs w:val="20"/>
                <w:color w:val="auto"/>
              </w:rPr>
            </w:pPr>
            <w:r>
              <w:rPr>
                <w:rFonts w:ascii="Times New Roman" w:cs="Times New Roman" w:eastAsia="Times New Roman" w:hAnsi="Times New Roman"/>
                <w:sz w:val="12"/>
                <w:szCs w:val="12"/>
                <w:b w:val="1"/>
                <w:bCs w:val="1"/>
                <w:color w:val="auto"/>
              </w:rPr>
              <w:t>GH Research PLC</w:t>
            </w:r>
          </w:p>
        </w:tc>
      </w:tr>
      <w:tr>
        <w:trPr>
          <w:trHeight w:val="155"/>
        </w:trPr>
        <w:tc>
          <w:tcPr>
            <w:tcW w:w="6220" w:type="dxa"/>
            <w:vAlign w:val="bottom"/>
          </w:tcPr>
          <w:p>
            <w:pPr>
              <w:spacing w:after="0"/>
              <w:rPr>
                <w:sz w:val="20"/>
                <w:szCs w:val="20"/>
                <w:color w:val="auto"/>
              </w:rPr>
            </w:pPr>
            <w:r>
              <w:rPr>
                <w:rFonts w:ascii="Times New Roman" w:cs="Times New Roman" w:eastAsia="Times New Roman" w:hAnsi="Times New Roman"/>
                <w:sz w:val="12"/>
                <w:szCs w:val="12"/>
                <w:color w:val="auto"/>
              </w:rPr>
              <w:t>Date: May 14, 2026</w:t>
            </w:r>
          </w:p>
        </w:tc>
        <w:tc>
          <w:tcPr>
            <w:tcW w:w="5080" w:type="dxa"/>
            <w:vAlign w:val="bottom"/>
          </w:tcPr>
          <w:p>
            <w:pPr>
              <w:spacing w:after="0"/>
              <w:rPr>
                <w:sz w:val="13"/>
                <w:szCs w:val="13"/>
                <w:color w:val="auto"/>
              </w:rPr>
            </w:pPr>
          </w:p>
        </w:tc>
      </w:tr>
      <w:tr>
        <w:trPr>
          <w:trHeight w:val="288"/>
        </w:trPr>
        <w:tc>
          <w:tcPr>
            <w:tcW w:w="6220" w:type="dxa"/>
            <w:vAlign w:val="bottom"/>
          </w:tcPr>
          <w:p>
            <w:pPr>
              <w:ind w:left="5660"/>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Julie Ryan</w:t>
            </w:r>
          </w:p>
        </w:tc>
      </w:tr>
      <w:tr>
        <w:trPr>
          <w:trHeight w:val="131"/>
        </w:trPr>
        <w:tc>
          <w:tcPr>
            <w:tcW w:w="6220" w:type="dxa"/>
            <w:vAlign w:val="bottom"/>
          </w:tcPr>
          <w:p>
            <w:pPr>
              <w:ind w:left="5660"/>
              <w:spacing w:after="0" w:line="13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Julie Ryan</w:t>
            </w:r>
          </w:p>
        </w:tc>
      </w:tr>
      <w:tr>
        <w:trPr>
          <w:trHeight w:val="155"/>
        </w:trPr>
        <w:tc>
          <w:tcPr>
            <w:tcW w:w="6220" w:type="dxa"/>
            <w:vAlign w:val="bottom"/>
          </w:tcPr>
          <w:p>
            <w:pPr>
              <w:ind w:left="5660"/>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Vice President, Finance</w:t>
            </w:r>
          </w:p>
        </w:tc>
      </w:tr>
      <w:tr>
        <w:trPr>
          <w:trHeight w:val="397"/>
        </w:trPr>
        <w:tc>
          <w:tcPr>
            <w:tcW w:w="6220" w:type="dxa"/>
            <w:vAlign w:val="bottom"/>
          </w:tcPr>
          <w:p>
            <w:pPr>
              <w:ind w:left="5620"/>
              <w:spacing w:after="0"/>
              <w:rPr>
                <w:sz w:val="20"/>
                <w:szCs w:val="20"/>
                <w:color w:val="auto"/>
              </w:rPr>
            </w:pPr>
            <w:r>
              <w:rPr>
                <w:rFonts w:ascii="Times New Roman" w:cs="Times New Roman" w:eastAsia="Times New Roman" w:hAnsi="Times New Roman"/>
                <w:sz w:val="10"/>
                <w:szCs w:val="10"/>
                <w:color w:val="auto"/>
              </w:rPr>
              <w:t>4</w:t>
            </w:r>
          </w:p>
        </w:tc>
        <w:tc>
          <w:tcPr>
            <w:tcW w:w="5080" w:type="dxa"/>
            <w:vAlign w:val="bottom"/>
          </w:tcPr>
          <w:p>
            <w:pPr>
              <w:spacing w:after="0"/>
              <w:rPr>
                <w:sz w:val="24"/>
                <w:szCs w:val="24"/>
                <w:color w:val="auto"/>
              </w:rPr>
            </w:pPr>
          </w:p>
        </w:tc>
      </w:tr>
      <w:tr>
        <w:trPr>
          <w:trHeight w:val="53"/>
        </w:trPr>
        <w:tc>
          <w:tcPr>
            <w:tcW w:w="6220" w:type="dxa"/>
            <w:vAlign w:val="bottom"/>
            <w:tcBorders>
              <w:bottom w:val="single" w:sz="8" w:color="auto"/>
            </w:tcBorders>
          </w:tcPr>
          <w:p>
            <w:pPr>
              <w:spacing w:after="0"/>
              <w:rPr>
                <w:sz w:val="4"/>
                <w:szCs w:val="4"/>
                <w:color w:val="auto"/>
              </w:rPr>
            </w:pPr>
          </w:p>
        </w:tc>
        <w:tc>
          <w:tcPr>
            <w:tcW w:w="5080" w:type="dxa"/>
            <w:vAlign w:val="bottom"/>
            <w:tcBorders>
              <w:bottom w:val="single" w:sz="8" w:color="auto"/>
            </w:tcBorders>
          </w:tcPr>
          <w:p>
            <w:pPr>
              <w:spacing w:after="0"/>
              <w:rPr>
                <w:sz w:val="4"/>
                <w:szCs w:val="4"/>
                <w:color w:val="auto"/>
              </w:rPr>
            </w:pPr>
          </w:p>
        </w:tc>
      </w:tr>
    </w:tbl>
    <w:p>
      <w:pPr>
        <w:sectPr>
          <w:pgSz w:w="11900" w:h="16838" w:orient="portrait"/>
          <w:cols w:equalWidth="0" w:num="1">
            <w:col w:w="11300"/>
          </w:cols>
          <w:pgMar w:left="300" w:top="125" w:right="29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9"/>
        </w:trPr>
        <w:tc>
          <w:tcPr>
            <w:tcW w:w="58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tc>
      </w:tr>
      <w:tr>
        <w:trPr>
          <w:trHeight w:val="621"/>
        </w:trPr>
        <w:tc>
          <w:tcPr>
            <w:tcW w:w="58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GH RESEARCH PLC</w:t>
            </w:r>
          </w:p>
        </w:tc>
        <w:tc>
          <w:tcPr>
            <w:tcW w:w="2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58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Unaudited condensed consolidated interim statement of comprehensive loss</w:t>
            </w:r>
          </w:p>
        </w:tc>
        <w:tc>
          <w:tcPr>
            <w:tcW w:w="2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3"/>
        </w:trPr>
        <w:tc>
          <w:tcPr>
            <w:tcW w:w="582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59"/>
        </w:trPr>
        <w:tc>
          <w:tcPr>
            <w:tcW w:w="58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March 31,</w:t>
            </w:r>
          </w:p>
        </w:tc>
        <w:tc>
          <w:tcPr>
            <w:tcW w:w="7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7"/>
        </w:trPr>
        <w:tc>
          <w:tcPr>
            <w:tcW w:w="58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7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b w:val="1"/>
                <w:bCs w:val="1"/>
                <w:color w:val="auto"/>
              </w:rPr>
              <w:t>2026</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jc w:val="right"/>
              <w:ind w:right="380"/>
              <w:spacing w:after="0" w:line="128" w:lineRule="exact"/>
              <w:rPr>
                <w:sz w:val="20"/>
                <w:szCs w:val="20"/>
                <w:color w:val="auto"/>
              </w:rPr>
            </w:pPr>
            <w:r>
              <w:rPr>
                <w:rFonts w:ascii="Times New Roman" w:cs="Times New Roman" w:eastAsia="Times New Roman" w:hAnsi="Times New Roman"/>
                <w:sz w:val="12"/>
                <w:szCs w:val="12"/>
                <w:b w:val="1"/>
                <w:bCs w:val="1"/>
                <w:color w:val="auto"/>
                <w:w w:val="99"/>
              </w:rPr>
              <w:t>2025</w:t>
            </w:r>
          </w:p>
        </w:tc>
        <w:tc>
          <w:tcPr>
            <w:tcW w:w="120" w:type="dxa"/>
            <w:vAlign w:val="bottom"/>
          </w:tcPr>
          <w:p>
            <w:pPr>
              <w:spacing w:after="0"/>
              <w:rPr>
                <w:sz w:val="11"/>
                <w:szCs w:val="11"/>
                <w:color w:val="auto"/>
              </w:rPr>
            </w:pPr>
          </w:p>
        </w:tc>
      </w:tr>
      <w:tr>
        <w:trPr>
          <w:trHeight w:val="159"/>
        </w:trPr>
        <w:tc>
          <w:tcPr>
            <w:tcW w:w="5820" w:type="dxa"/>
            <w:vAlign w:val="bottom"/>
          </w:tcPr>
          <w:p>
            <w:pPr>
              <w:spacing w:after="0"/>
              <w:rPr>
                <w:sz w:val="13"/>
                <w:szCs w:val="13"/>
                <w:color w:val="auto"/>
              </w:rPr>
            </w:pPr>
          </w:p>
        </w:tc>
        <w:tc>
          <w:tcPr>
            <w:tcW w:w="2900" w:type="dxa"/>
            <w:vAlign w:val="bottom"/>
          </w:tcPr>
          <w:p>
            <w:pPr>
              <w:ind w:left="1980"/>
              <w:spacing w:after="0"/>
              <w:rPr>
                <w:sz w:val="20"/>
                <w:szCs w:val="20"/>
                <w:color w:val="auto"/>
              </w:rPr>
            </w:pPr>
            <w:r>
              <w:rPr>
                <w:rFonts w:ascii="Times New Roman" w:cs="Times New Roman" w:eastAsia="Times New Roman" w:hAnsi="Times New Roman"/>
                <w:sz w:val="12"/>
                <w:szCs w:val="12"/>
                <w:b w:val="1"/>
                <w:bCs w:val="1"/>
                <w:color w:val="auto"/>
              </w:rPr>
              <w:t>Note</w:t>
            </w:r>
          </w:p>
        </w:tc>
        <w:tc>
          <w:tcPr>
            <w:tcW w:w="700" w:type="dxa"/>
            <w:vAlign w:val="bottom"/>
          </w:tcPr>
          <w:p>
            <w:pPr>
              <w:jc w:val="center"/>
              <w:ind w:left="360"/>
              <w:spacing w:after="0"/>
              <w:rPr>
                <w:sz w:val="20"/>
                <w:szCs w:val="20"/>
                <w:color w:val="auto"/>
              </w:rPr>
            </w:pPr>
            <w:r>
              <w:rPr>
                <w:rFonts w:ascii="Times New Roman" w:cs="Times New Roman" w:eastAsia="Times New Roman" w:hAnsi="Times New Roman"/>
                <w:sz w:val="12"/>
                <w:szCs w:val="12"/>
                <w:b w:val="1"/>
                <w:bCs w:val="1"/>
                <w:color w:val="auto"/>
                <w:w w:val="99"/>
              </w:rPr>
              <w:t>$’000</w:t>
            </w: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gridSpan w:val="2"/>
          </w:tcPr>
          <w:p>
            <w:pPr>
              <w:jc w:val="center"/>
              <w:ind w:right="540"/>
              <w:spacing w:after="0"/>
              <w:rPr>
                <w:sz w:val="20"/>
                <w:szCs w:val="20"/>
                <w:color w:val="auto"/>
              </w:rPr>
            </w:pPr>
            <w:r>
              <w:rPr>
                <w:rFonts w:ascii="Times New Roman" w:cs="Times New Roman" w:eastAsia="Times New Roman" w:hAnsi="Times New Roman"/>
                <w:sz w:val="12"/>
                <w:szCs w:val="12"/>
                <w:b w:val="1"/>
                <w:bCs w:val="1"/>
                <w:color w:val="auto"/>
                <w:w w:val="99"/>
              </w:rPr>
              <w:t>$’000</w:t>
            </w:r>
          </w:p>
        </w:tc>
      </w:tr>
      <w:tr>
        <w:trPr>
          <w:trHeight w:val="142"/>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Operating expenses</w:t>
            </w:r>
          </w:p>
        </w:tc>
        <w:tc>
          <w:tcPr>
            <w:tcW w:w="29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58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Research and development</w:t>
            </w:r>
          </w:p>
        </w:tc>
        <w:tc>
          <w:tcPr>
            <w:tcW w:w="2900" w:type="dxa"/>
            <w:vAlign w:val="bottom"/>
          </w:tcPr>
          <w:p>
            <w:pPr>
              <w:jc w:val="center"/>
              <w:ind w:left="1220"/>
              <w:spacing w:after="0"/>
              <w:rPr>
                <w:sz w:val="20"/>
                <w:szCs w:val="20"/>
                <w:color w:val="auto"/>
              </w:rPr>
            </w:pPr>
            <w:r>
              <w:rPr>
                <w:rFonts w:ascii="Times New Roman" w:cs="Times New Roman" w:eastAsia="Times New Roman" w:hAnsi="Times New Roman"/>
                <w:sz w:val="12"/>
                <w:szCs w:val="12"/>
                <w:color w:val="auto"/>
                <w:w w:val="99"/>
              </w:rPr>
              <w:t>3</w:t>
            </w:r>
          </w:p>
        </w:tc>
        <w:tc>
          <w:tcPr>
            <w:tcW w:w="70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(12,379)</w:t>
            </w:r>
          </w:p>
        </w:tc>
        <w:tc>
          <w:tcPr>
            <w:tcW w:w="4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(7,852)</w:t>
            </w:r>
          </w:p>
        </w:tc>
      </w:tr>
      <w:tr>
        <w:trPr>
          <w:trHeight w:val="144"/>
        </w:trPr>
        <w:tc>
          <w:tcPr>
            <w:tcW w:w="5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General and administration</w:t>
            </w:r>
          </w:p>
        </w:tc>
        <w:tc>
          <w:tcPr>
            <w:tcW w:w="2900" w:type="dxa"/>
            <w:vAlign w:val="bottom"/>
            <w:shd w:val="clear" w:color="auto" w:fill="CCEEFF"/>
          </w:tcPr>
          <w:p>
            <w:pPr>
              <w:jc w:val="center"/>
              <w:ind w:left="1220"/>
              <w:spacing w:after="0"/>
              <w:rPr>
                <w:sz w:val="20"/>
                <w:szCs w:val="20"/>
                <w:color w:val="auto"/>
              </w:rPr>
            </w:pPr>
            <w:r>
              <w:rPr>
                <w:rFonts w:ascii="Times New Roman" w:cs="Times New Roman" w:eastAsia="Times New Roman" w:hAnsi="Times New Roman"/>
                <w:sz w:val="12"/>
                <w:szCs w:val="12"/>
                <w:color w:val="auto"/>
                <w:w w:val="99"/>
              </w:rPr>
              <w:t>3</w:t>
            </w:r>
          </w:p>
        </w:tc>
        <w:tc>
          <w:tcPr>
            <w:tcW w:w="7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(6,370)</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(4,880)</w:t>
            </w:r>
          </w:p>
        </w:tc>
      </w:tr>
      <w:tr>
        <w:trPr>
          <w:trHeight w:val="20"/>
        </w:trPr>
        <w:tc>
          <w:tcPr>
            <w:tcW w:w="582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58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Loss from operations</w:t>
            </w:r>
          </w:p>
        </w:tc>
        <w:tc>
          <w:tcPr>
            <w:tcW w:w="2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(18,749)</w:t>
            </w:r>
          </w:p>
        </w:tc>
        <w:tc>
          <w:tcPr>
            <w:tcW w:w="4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(12,732)</w:t>
            </w:r>
          </w:p>
        </w:tc>
      </w:tr>
      <w:tr>
        <w:trPr>
          <w:trHeight w:val="142"/>
        </w:trPr>
        <w:tc>
          <w:tcPr>
            <w:tcW w:w="5820" w:type="dxa"/>
            <w:vAlign w:val="bottom"/>
            <w:shd w:val="clear" w:color="auto" w:fill="CCEEFF"/>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58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Finance income</w:t>
            </w:r>
          </w:p>
        </w:tc>
        <w:tc>
          <w:tcPr>
            <w:tcW w:w="2900" w:type="dxa"/>
            <w:vAlign w:val="bottom"/>
          </w:tcPr>
          <w:p>
            <w:pPr>
              <w:jc w:val="center"/>
              <w:ind w:left="1220"/>
              <w:spacing w:after="0"/>
              <w:rPr>
                <w:sz w:val="20"/>
                <w:szCs w:val="20"/>
                <w:color w:val="auto"/>
              </w:rPr>
            </w:pPr>
            <w:r>
              <w:rPr>
                <w:rFonts w:ascii="Times New Roman" w:cs="Times New Roman" w:eastAsia="Times New Roman" w:hAnsi="Times New Roman"/>
                <w:sz w:val="12"/>
                <w:szCs w:val="12"/>
                <w:color w:val="auto"/>
                <w:w w:val="99"/>
              </w:rPr>
              <w:t>4</w:t>
            </w:r>
          </w:p>
        </w:tc>
        <w:tc>
          <w:tcPr>
            <w:tcW w:w="7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2,194</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2,759</w:t>
            </w:r>
          </w:p>
        </w:tc>
      </w:tr>
      <w:tr>
        <w:trPr>
          <w:trHeight w:val="144"/>
        </w:trPr>
        <w:tc>
          <w:tcPr>
            <w:tcW w:w="5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Finance expense</w:t>
            </w:r>
          </w:p>
        </w:tc>
        <w:tc>
          <w:tcPr>
            <w:tcW w:w="2900" w:type="dxa"/>
            <w:vAlign w:val="bottom"/>
            <w:shd w:val="clear" w:color="auto" w:fill="CCEEFF"/>
          </w:tcPr>
          <w:p>
            <w:pPr>
              <w:jc w:val="center"/>
              <w:ind w:left="1220"/>
              <w:spacing w:after="0"/>
              <w:rPr>
                <w:sz w:val="20"/>
                <w:szCs w:val="20"/>
                <w:color w:val="auto"/>
              </w:rPr>
            </w:pPr>
            <w:r>
              <w:rPr>
                <w:rFonts w:ascii="Times New Roman" w:cs="Times New Roman" w:eastAsia="Times New Roman" w:hAnsi="Times New Roman"/>
                <w:sz w:val="12"/>
                <w:szCs w:val="12"/>
                <w:color w:val="auto"/>
                <w:w w:val="99"/>
              </w:rPr>
              <w:t>4</w:t>
            </w:r>
          </w:p>
        </w:tc>
        <w:tc>
          <w:tcPr>
            <w:tcW w:w="7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(84)</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(178)</w:t>
            </w:r>
          </w:p>
        </w:tc>
      </w:tr>
      <w:tr>
        <w:trPr>
          <w:trHeight w:val="144"/>
        </w:trPr>
        <w:tc>
          <w:tcPr>
            <w:tcW w:w="58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Movement of expected credit loss</w:t>
            </w:r>
          </w:p>
        </w:tc>
        <w:tc>
          <w:tcPr>
            <w:tcW w:w="2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(19)</w:t>
            </w:r>
          </w:p>
        </w:tc>
      </w:tr>
      <w:tr>
        <w:trPr>
          <w:trHeight w:val="144"/>
        </w:trPr>
        <w:tc>
          <w:tcPr>
            <w:tcW w:w="5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Foreign exchange loss</w:t>
            </w:r>
          </w:p>
        </w:tc>
        <w:tc>
          <w:tcPr>
            <w:tcW w:w="29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(2,329)</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(642)</w:t>
            </w:r>
          </w:p>
        </w:tc>
      </w:tr>
      <w:tr>
        <w:trPr>
          <w:trHeight w:val="20"/>
        </w:trPr>
        <w:tc>
          <w:tcPr>
            <w:tcW w:w="582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58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other (loss)/income</w:t>
            </w:r>
          </w:p>
        </w:tc>
        <w:tc>
          <w:tcPr>
            <w:tcW w:w="2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(218)</w:t>
            </w: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1,920</w:t>
            </w:r>
          </w:p>
        </w:tc>
      </w:tr>
      <w:tr>
        <w:trPr>
          <w:trHeight w:val="142"/>
        </w:trPr>
        <w:tc>
          <w:tcPr>
            <w:tcW w:w="5820" w:type="dxa"/>
            <w:vAlign w:val="bottom"/>
            <w:shd w:val="clear" w:color="auto" w:fill="CCEEFF"/>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58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Loss before tax</w:t>
            </w:r>
          </w:p>
        </w:tc>
        <w:tc>
          <w:tcPr>
            <w:tcW w:w="2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(18,967)</w:t>
            </w:r>
          </w:p>
        </w:tc>
        <w:tc>
          <w:tcPr>
            <w:tcW w:w="4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(10,812)</w:t>
            </w:r>
          </w:p>
        </w:tc>
      </w:tr>
      <w:tr>
        <w:trPr>
          <w:trHeight w:val="144"/>
        </w:trPr>
        <w:tc>
          <w:tcPr>
            <w:tcW w:w="5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Tax charge/(credit)</w:t>
            </w:r>
          </w:p>
        </w:tc>
        <w:tc>
          <w:tcPr>
            <w:tcW w:w="29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582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58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Loss for the period</w:t>
            </w:r>
          </w:p>
        </w:tc>
        <w:tc>
          <w:tcPr>
            <w:tcW w:w="2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(18,967)</w:t>
            </w:r>
          </w:p>
        </w:tc>
        <w:tc>
          <w:tcPr>
            <w:tcW w:w="4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(10,812)</w:t>
            </w:r>
          </w:p>
        </w:tc>
      </w:tr>
      <w:tr>
        <w:trPr>
          <w:trHeight w:val="20"/>
        </w:trPr>
        <w:tc>
          <w:tcPr>
            <w:tcW w:w="58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0"/>
        </w:trPr>
        <w:tc>
          <w:tcPr>
            <w:tcW w:w="5820" w:type="dxa"/>
            <w:vAlign w:val="bottom"/>
            <w:shd w:val="clear" w:color="auto" w:fill="CCEEFF"/>
          </w:tcPr>
          <w:p>
            <w:pPr>
              <w:spacing w:after="0"/>
              <w:rPr>
                <w:sz w:val="10"/>
                <w:szCs w:val="10"/>
                <w:color w:val="auto"/>
              </w:rPr>
            </w:pPr>
          </w:p>
        </w:tc>
        <w:tc>
          <w:tcPr>
            <w:tcW w:w="29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44"/>
        </w:trPr>
        <w:tc>
          <w:tcPr>
            <w:tcW w:w="58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Other comprehensive income/(expense)</w:t>
            </w:r>
          </w:p>
        </w:tc>
        <w:tc>
          <w:tcPr>
            <w:tcW w:w="2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i w:val="1"/>
                <w:iCs w:val="1"/>
                <w:color w:val="auto"/>
              </w:rPr>
              <w:t>Items that may be reclassified to profit or loss</w:t>
            </w:r>
          </w:p>
        </w:tc>
        <w:tc>
          <w:tcPr>
            <w:tcW w:w="29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58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Fair value movement on marketable securities</w:t>
            </w:r>
          </w:p>
        </w:tc>
        <w:tc>
          <w:tcPr>
            <w:tcW w:w="2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(84)</w:t>
            </w: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60</w:t>
            </w:r>
          </w:p>
        </w:tc>
      </w:tr>
      <w:tr>
        <w:trPr>
          <w:trHeight w:val="144"/>
        </w:trPr>
        <w:tc>
          <w:tcPr>
            <w:tcW w:w="5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Currency translation adjustment</w:t>
            </w:r>
          </w:p>
        </w:tc>
        <w:tc>
          <w:tcPr>
            <w:tcW w:w="29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822</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532</w:t>
            </w:r>
          </w:p>
        </w:tc>
      </w:tr>
      <w:tr>
        <w:trPr>
          <w:trHeight w:val="20"/>
        </w:trPr>
        <w:tc>
          <w:tcPr>
            <w:tcW w:w="582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58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comprehensive loss for the period</w:t>
            </w:r>
          </w:p>
        </w:tc>
        <w:tc>
          <w:tcPr>
            <w:tcW w:w="2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(18,229)</w:t>
            </w:r>
          </w:p>
        </w:tc>
        <w:tc>
          <w:tcPr>
            <w:tcW w:w="4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(10,220)</w:t>
            </w:r>
          </w:p>
        </w:tc>
      </w:tr>
      <w:tr>
        <w:trPr>
          <w:trHeight w:val="20"/>
        </w:trPr>
        <w:tc>
          <w:tcPr>
            <w:tcW w:w="58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0"/>
        </w:trPr>
        <w:tc>
          <w:tcPr>
            <w:tcW w:w="5820" w:type="dxa"/>
            <w:vAlign w:val="bottom"/>
            <w:shd w:val="clear" w:color="auto" w:fill="CCEEFF"/>
          </w:tcPr>
          <w:p>
            <w:pPr>
              <w:spacing w:after="0"/>
              <w:rPr>
                <w:sz w:val="10"/>
                <w:szCs w:val="10"/>
                <w:color w:val="auto"/>
              </w:rPr>
            </w:pPr>
          </w:p>
        </w:tc>
        <w:tc>
          <w:tcPr>
            <w:tcW w:w="29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44"/>
        </w:trPr>
        <w:tc>
          <w:tcPr>
            <w:tcW w:w="58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Attributable to owners:</w:t>
            </w:r>
          </w:p>
        </w:tc>
        <w:tc>
          <w:tcPr>
            <w:tcW w:w="2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5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Loss for the period</w:t>
            </w:r>
          </w:p>
        </w:tc>
        <w:tc>
          <w:tcPr>
            <w:tcW w:w="29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(18,967)</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(10,812)</w:t>
            </w:r>
          </w:p>
        </w:tc>
      </w:tr>
      <w:tr>
        <w:trPr>
          <w:trHeight w:val="144"/>
        </w:trPr>
        <w:tc>
          <w:tcPr>
            <w:tcW w:w="58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Total comprehensive loss for the period</w:t>
            </w:r>
          </w:p>
        </w:tc>
        <w:tc>
          <w:tcPr>
            <w:tcW w:w="2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(18,229)</w:t>
            </w:r>
          </w:p>
        </w:tc>
        <w:tc>
          <w:tcPr>
            <w:tcW w:w="4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(10,220)</w:t>
            </w:r>
          </w:p>
        </w:tc>
      </w:tr>
      <w:tr>
        <w:trPr>
          <w:trHeight w:val="142"/>
        </w:trPr>
        <w:tc>
          <w:tcPr>
            <w:tcW w:w="5820" w:type="dxa"/>
            <w:vAlign w:val="bottom"/>
            <w:shd w:val="clear" w:color="auto" w:fill="CCEEFF"/>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58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Loss per share</w:t>
            </w:r>
          </w:p>
        </w:tc>
        <w:tc>
          <w:tcPr>
            <w:tcW w:w="2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5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Basic and diluted loss per share (in USD)</w:t>
            </w:r>
          </w:p>
        </w:tc>
        <w:tc>
          <w:tcPr>
            <w:tcW w:w="2900" w:type="dxa"/>
            <w:vAlign w:val="bottom"/>
            <w:shd w:val="clear" w:color="auto" w:fill="CCEEFF"/>
          </w:tcPr>
          <w:p>
            <w:pPr>
              <w:jc w:val="center"/>
              <w:ind w:left="1240"/>
              <w:spacing w:after="0"/>
              <w:rPr>
                <w:sz w:val="20"/>
                <w:szCs w:val="20"/>
                <w:color w:val="auto"/>
              </w:rPr>
            </w:pPr>
            <w:r>
              <w:rPr>
                <w:rFonts w:ascii="Times New Roman" w:cs="Times New Roman" w:eastAsia="Times New Roman" w:hAnsi="Times New Roman"/>
                <w:sz w:val="12"/>
                <w:szCs w:val="12"/>
                <w:color w:val="auto"/>
                <w:w w:val="99"/>
              </w:rPr>
              <w:t>15</w:t>
            </w:r>
          </w:p>
        </w:tc>
        <w:tc>
          <w:tcPr>
            <w:tcW w:w="7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(0.31)</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(0.19)</w:t>
            </w:r>
          </w:p>
        </w:tc>
      </w:tr>
      <w:tr>
        <w:trPr>
          <w:trHeight w:val="405"/>
        </w:trPr>
        <w:tc>
          <w:tcPr>
            <w:tcW w:w="8720" w:type="dxa"/>
            <w:vAlign w:val="bottom"/>
            <w:gridSpan w:val="2"/>
          </w:tcPr>
          <w:p>
            <w:pPr>
              <w:ind w:left="2260"/>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these unaudited condensed consolidated interim financial statements.</w:t>
            </w: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1</w:t>
            </w:r>
          </w:p>
        </w:tc>
      </w:tr>
      <w:tr>
        <w:trPr>
          <w:trHeight w:val="36"/>
        </w:trPr>
        <w:tc>
          <w:tcPr>
            <w:tcW w:w="582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6487160</wp:posOffset>
            </wp:positionH>
            <wp:positionV relativeFrom="paragraph">
              <wp:posOffset>-3851275</wp:posOffset>
            </wp:positionV>
            <wp:extent cx="685800" cy="2114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0" cy="211455"/>
                    </a:xfrm>
                    <a:prstGeom prst="rect">
                      <a:avLst/>
                    </a:prstGeom>
                    <a:noFill/>
                  </pic:spPr>
                </pic:pic>
              </a:graphicData>
            </a:graphic>
          </wp:anchor>
        </w:drawing>
      </w:r>
    </w:p>
    <w:p>
      <w:pPr>
        <w:sectPr>
          <w:pgSz w:w="11900" w:h="16838" w:orient="portrait"/>
          <w:cols w:equalWidth="0" w:num="1">
            <w:col w:w="11300"/>
          </w:cols>
          <w:pgMar w:left="300" w:top="224" w:right="2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59"/>
        </w:trPr>
        <w:tc>
          <w:tcPr>
            <w:tcW w:w="20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GH RESEARCH PLC</w:t>
            </w:r>
          </w:p>
        </w:tc>
        <w:tc>
          <w:tcPr>
            <w:tcW w:w="6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87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Unaudited condensed consolidated interim statement of financial position</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206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At March 31,</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At December 31,</w:t>
            </w:r>
          </w:p>
        </w:tc>
      </w:tr>
      <w:tr>
        <w:trPr>
          <w:trHeight w:val="127"/>
        </w:trPr>
        <w:tc>
          <w:tcPr>
            <w:tcW w:w="2060" w:type="dxa"/>
            <w:vAlign w:val="bottom"/>
          </w:tcPr>
          <w:p>
            <w:pPr>
              <w:spacing w:after="0"/>
              <w:rPr>
                <w:sz w:val="11"/>
                <w:szCs w:val="11"/>
                <w:color w:val="auto"/>
              </w:rPr>
            </w:pPr>
          </w:p>
        </w:tc>
        <w:tc>
          <w:tcPr>
            <w:tcW w:w="6660" w:type="dxa"/>
            <w:vAlign w:val="bottom"/>
          </w:tcPr>
          <w:p>
            <w:pPr>
              <w:spacing w:after="0"/>
              <w:rPr>
                <w:sz w:val="11"/>
                <w:szCs w:val="11"/>
                <w:color w:val="auto"/>
              </w:rPr>
            </w:pPr>
          </w:p>
        </w:tc>
        <w:tc>
          <w:tcPr>
            <w:tcW w:w="1120" w:type="dxa"/>
            <w:vAlign w:val="bottom"/>
            <w:tcBorders>
              <w:top w:val="single" w:sz="8" w:color="auto"/>
            </w:tcBorders>
          </w:tcPr>
          <w:p>
            <w:pPr>
              <w:jc w:val="right"/>
              <w:ind w:right="380"/>
              <w:spacing w:after="0" w:line="128" w:lineRule="exact"/>
              <w:rPr>
                <w:sz w:val="20"/>
                <w:szCs w:val="20"/>
                <w:color w:val="auto"/>
              </w:rPr>
            </w:pPr>
            <w:r>
              <w:rPr>
                <w:rFonts w:ascii="Times New Roman" w:cs="Times New Roman" w:eastAsia="Times New Roman" w:hAnsi="Times New Roman"/>
                <w:sz w:val="12"/>
                <w:szCs w:val="12"/>
                <w:b w:val="1"/>
                <w:bCs w:val="1"/>
                <w:color w:val="auto"/>
              </w:rPr>
              <w:t>2026</w:t>
            </w:r>
          </w:p>
        </w:tc>
        <w:tc>
          <w:tcPr>
            <w:tcW w:w="220" w:type="dxa"/>
            <w:vAlign w:val="bottom"/>
          </w:tcPr>
          <w:p>
            <w:pPr>
              <w:spacing w:after="0"/>
              <w:rPr>
                <w:sz w:val="11"/>
                <w:szCs w:val="11"/>
                <w:color w:val="auto"/>
              </w:rPr>
            </w:pPr>
          </w:p>
        </w:tc>
        <w:tc>
          <w:tcPr>
            <w:tcW w:w="1120" w:type="dxa"/>
            <w:vAlign w:val="bottom"/>
            <w:tcBorders>
              <w:top w:val="single" w:sz="8" w:color="auto"/>
            </w:tcBorders>
          </w:tcPr>
          <w:p>
            <w:pPr>
              <w:jc w:val="right"/>
              <w:ind w:right="380"/>
              <w:spacing w:after="0" w:line="128" w:lineRule="exact"/>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Pr>
          <w:p>
            <w:pPr>
              <w:spacing w:after="0"/>
              <w:rPr>
                <w:sz w:val="11"/>
                <w:szCs w:val="11"/>
                <w:color w:val="auto"/>
              </w:rPr>
            </w:pPr>
          </w:p>
        </w:tc>
      </w:tr>
      <w:tr>
        <w:trPr>
          <w:trHeight w:val="159"/>
        </w:trPr>
        <w:tc>
          <w:tcPr>
            <w:tcW w:w="2060" w:type="dxa"/>
            <w:vAlign w:val="bottom"/>
          </w:tcPr>
          <w:p>
            <w:pPr>
              <w:spacing w:after="0"/>
              <w:rPr>
                <w:sz w:val="13"/>
                <w:szCs w:val="13"/>
                <w:color w:val="auto"/>
              </w:rPr>
            </w:pPr>
          </w:p>
        </w:tc>
        <w:tc>
          <w:tcPr>
            <w:tcW w:w="6660" w:type="dxa"/>
            <w:vAlign w:val="bottom"/>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Note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$’000</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$’000</w:t>
            </w:r>
          </w:p>
        </w:tc>
      </w:tr>
      <w:tr>
        <w:trPr>
          <w:trHeight w:val="142"/>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666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20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Current assets</w:t>
            </w:r>
          </w:p>
        </w:tc>
        <w:tc>
          <w:tcPr>
            <w:tcW w:w="6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6660" w:type="dxa"/>
            <w:vAlign w:val="bottom"/>
            <w:shd w:val="clear" w:color="auto" w:fill="CCEEFF"/>
          </w:tcPr>
          <w:p>
            <w:pPr>
              <w:jc w:val="center"/>
              <w:ind w:left="4980"/>
              <w:spacing w:after="0"/>
              <w:rPr>
                <w:sz w:val="20"/>
                <w:szCs w:val="20"/>
                <w:color w:val="auto"/>
              </w:rPr>
            </w:pPr>
            <w:r>
              <w:rPr>
                <w:rFonts w:ascii="Times New Roman" w:cs="Times New Roman" w:eastAsia="Times New Roman" w:hAnsi="Times New Roman"/>
                <w:sz w:val="12"/>
                <w:szCs w:val="12"/>
                <w:color w:val="auto"/>
                <w:w w:val="99"/>
              </w:rPr>
              <w:t>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242,652</w:t>
            </w: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246,251</w:t>
            </w:r>
          </w:p>
        </w:tc>
      </w:tr>
      <w:tr>
        <w:trPr>
          <w:trHeight w:val="144"/>
        </w:trPr>
        <w:tc>
          <w:tcPr>
            <w:tcW w:w="20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Marketable securities</w:t>
            </w:r>
          </w:p>
        </w:tc>
        <w:tc>
          <w:tcPr>
            <w:tcW w:w="6660" w:type="dxa"/>
            <w:vAlign w:val="bottom"/>
          </w:tcPr>
          <w:p>
            <w:pPr>
              <w:jc w:val="center"/>
              <w:ind w:left="4980"/>
              <w:spacing w:after="0"/>
              <w:rPr>
                <w:sz w:val="20"/>
                <w:szCs w:val="20"/>
                <w:color w:val="auto"/>
              </w:rPr>
            </w:pPr>
            <w:r>
              <w:rPr>
                <w:rFonts w:ascii="Times New Roman" w:cs="Times New Roman" w:eastAsia="Times New Roman" w:hAnsi="Times New Roman"/>
                <w:sz w:val="12"/>
                <w:szCs w:val="12"/>
                <w:color w:val="auto"/>
                <w:w w:val="99"/>
              </w:rPr>
              <w:t>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24,673</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34,457</w:t>
            </w:r>
          </w:p>
        </w:tc>
      </w:tr>
      <w:tr>
        <w:trPr>
          <w:trHeight w:val="144"/>
        </w:trPr>
        <w:tc>
          <w:tcPr>
            <w:tcW w:w="2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Other current assets</w:t>
            </w:r>
          </w:p>
        </w:tc>
        <w:tc>
          <w:tcPr>
            <w:tcW w:w="6660" w:type="dxa"/>
            <w:vAlign w:val="bottom"/>
            <w:shd w:val="clear" w:color="auto" w:fill="CCEEFF"/>
          </w:tcPr>
          <w:p>
            <w:pPr>
              <w:jc w:val="center"/>
              <w:ind w:left="4980"/>
              <w:spacing w:after="0"/>
              <w:rPr>
                <w:sz w:val="20"/>
                <w:szCs w:val="20"/>
                <w:color w:val="auto"/>
              </w:rPr>
            </w:pPr>
            <w:r>
              <w:rPr>
                <w:rFonts w:ascii="Times New Roman" w:cs="Times New Roman" w:eastAsia="Times New Roman" w:hAnsi="Times New Roman"/>
                <w:sz w:val="12"/>
                <w:szCs w:val="12"/>
                <w:color w:val="auto"/>
                <w:w w:val="99"/>
              </w:rPr>
              <w:t>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4,907</w:t>
            </w: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5,268</w:t>
            </w:r>
          </w:p>
        </w:tc>
      </w:tr>
      <w:tr>
        <w:trPr>
          <w:trHeight w:val="20"/>
        </w:trPr>
        <w:tc>
          <w:tcPr>
            <w:tcW w:w="2060" w:type="dxa"/>
            <w:vAlign w:val="bottom"/>
            <w:shd w:val="clear" w:color="auto" w:fill="CCEEFF"/>
          </w:tcPr>
          <w:p>
            <w:pPr>
              <w:spacing w:after="0" w:line="20" w:lineRule="exact"/>
              <w:rPr>
                <w:sz w:val="1"/>
                <w:szCs w:val="1"/>
                <w:color w:val="auto"/>
              </w:rPr>
            </w:pPr>
          </w:p>
        </w:tc>
        <w:tc>
          <w:tcPr>
            <w:tcW w:w="66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20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current assets</w:t>
            </w:r>
          </w:p>
        </w:tc>
        <w:tc>
          <w:tcPr>
            <w:tcW w:w="66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272,232</w:t>
            </w:r>
          </w:p>
        </w:tc>
        <w:tc>
          <w:tcPr>
            <w:tcW w:w="22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285,976</w:t>
            </w:r>
          </w:p>
        </w:tc>
      </w:tr>
      <w:tr>
        <w:trPr>
          <w:trHeight w:val="142"/>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Non-current assets</w:t>
            </w:r>
          </w:p>
        </w:tc>
        <w:tc>
          <w:tcPr>
            <w:tcW w:w="666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20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Property, plant and equipment</w:t>
            </w:r>
          </w:p>
        </w:tc>
        <w:tc>
          <w:tcPr>
            <w:tcW w:w="66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580</w:t>
            </w:r>
          </w:p>
        </w:tc>
        <w:tc>
          <w:tcPr>
            <w:tcW w:w="22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620</w:t>
            </w:r>
          </w:p>
        </w:tc>
      </w:tr>
      <w:tr>
        <w:trPr>
          <w:trHeight w:val="144"/>
        </w:trPr>
        <w:tc>
          <w:tcPr>
            <w:tcW w:w="2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Other non-current assets</w:t>
            </w:r>
          </w:p>
        </w:tc>
        <w:tc>
          <w:tcPr>
            <w:tcW w:w="6660" w:type="dxa"/>
            <w:vAlign w:val="bottom"/>
            <w:shd w:val="clear" w:color="auto" w:fill="CCEEFF"/>
          </w:tcPr>
          <w:p>
            <w:pPr>
              <w:jc w:val="right"/>
              <w:ind w:right="720"/>
              <w:spacing w:after="0"/>
              <w:rPr>
                <w:sz w:val="20"/>
                <w:szCs w:val="20"/>
                <w:color w:val="auto"/>
              </w:rPr>
            </w:pPr>
            <w:r>
              <w:rPr>
                <w:rFonts w:ascii="Times New Roman" w:cs="Times New Roman" w:eastAsia="Times New Roman" w:hAnsi="Times New Roman"/>
                <w:sz w:val="12"/>
                <w:szCs w:val="12"/>
                <w:color w:val="auto"/>
              </w:rPr>
              <w:t>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2,455</w:t>
            </w: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1,634</w:t>
            </w:r>
          </w:p>
        </w:tc>
      </w:tr>
      <w:tr>
        <w:trPr>
          <w:trHeight w:val="20"/>
        </w:trPr>
        <w:tc>
          <w:tcPr>
            <w:tcW w:w="2060" w:type="dxa"/>
            <w:vAlign w:val="bottom"/>
            <w:shd w:val="clear" w:color="auto" w:fill="CCEEFF"/>
          </w:tcPr>
          <w:p>
            <w:pPr>
              <w:spacing w:after="0" w:line="20" w:lineRule="exact"/>
              <w:rPr>
                <w:sz w:val="1"/>
                <w:szCs w:val="1"/>
                <w:color w:val="auto"/>
              </w:rPr>
            </w:pPr>
          </w:p>
        </w:tc>
        <w:tc>
          <w:tcPr>
            <w:tcW w:w="66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20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non-current assets</w:t>
            </w:r>
          </w:p>
        </w:tc>
        <w:tc>
          <w:tcPr>
            <w:tcW w:w="66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3,035</w:t>
            </w:r>
          </w:p>
        </w:tc>
        <w:tc>
          <w:tcPr>
            <w:tcW w:w="22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2,254</w:t>
            </w:r>
          </w:p>
        </w:tc>
      </w:tr>
      <w:tr>
        <w:trPr>
          <w:trHeight w:val="182"/>
        </w:trPr>
        <w:tc>
          <w:tcPr>
            <w:tcW w:w="2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66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275,267</w:t>
            </w:r>
          </w:p>
        </w:tc>
        <w:tc>
          <w:tcPr>
            <w:tcW w:w="2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288,230</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120"/>
        </w:trPr>
        <w:tc>
          <w:tcPr>
            <w:tcW w:w="2060" w:type="dxa"/>
            <w:vAlign w:val="bottom"/>
          </w:tcPr>
          <w:p>
            <w:pPr>
              <w:spacing w:after="0"/>
              <w:rPr>
                <w:sz w:val="10"/>
                <w:szCs w:val="10"/>
                <w:color w:val="auto"/>
              </w:rPr>
            </w:pPr>
          </w:p>
        </w:tc>
        <w:tc>
          <w:tcPr>
            <w:tcW w:w="6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4"/>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LIABILITIES AND EQUITY</w:t>
            </w:r>
          </w:p>
        </w:tc>
        <w:tc>
          <w:tcPr>
            <w:tcW w:w="66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20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Current liabilities</w:t>
            </w:r>
          </w:p>
        </w:tc>
        <w:tc>
          <w:tcPr>
            <w:tcW w:w="6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Trade payables</w:t>
            </w:r>
          </w:p>
        </w:tc>
        <w:tc>
          <w:tcPr>
            <w:tcW w:w="6660" w:type="dxa"/>
            <w:vAlign w:val="bottom"/>
            <w:shd w:val="clear" w:color="auto" w:fill="CCEEFF"/>
          </w:tcPr>
          <w:p>
            <w:pPr>
              <w:jc w:val="center"/>
              <w:ind w:left="4980"/>
              <w:spacing w:after="0"/>
              <w:rPr>
                <w:sz w:val="20"/>
                <w:szCs w:val="20"/>
                <w:color w:val="auto"/>
              </w:rPr>
            </w:pPr>
            <w:r>
              <w:rPr>
                <w:rFonts w:ascii="Times New Roman" w:cs="Times New Roman" w:eastAsia="Times New Roman" w:hAnsi="Times New Roman"/>
                <w:sz w:val="12"/>
                <w:szCs w:val="12"/>
                <w:color w:val="auto"/>
                <w:w w:val="99"/>
              </w:rPr>
              <w:t>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5,212</w:t>
            </w: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3,773</w:t>
            </w:r>
          </w:p>
        </w:tc>
      </w:tr>
      <w:tr>
        <w:trPr>
          <w:trHeight w:val="144"/>
        </w:trPr>
        <w:tc>
          <w:tcPr>
            <w:tcW w:w="20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Lease liability</w:t>
            </w:r>
          </w:p>
        </w:tc>
        <w:tc>
          <w:tcPr>
            <w:tcW w:w="66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357</w:t>
            </w:r>
          </w:p>
        </w:tc>
        <w:tc>
          <w:tcPr>
            <w:tcW w:w="22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365</w:t>
            </w:r>
          </w:p>
        </w:tc>
      </w:tr>
      <w:tr>
        <w:trPr>
          <w:trHeight w:val="144"/>
        </w:trPr>
        <w:tc>
          <w:tcPr>
            <w:tcW w:w="2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6660" w:type="dxa"/>
            <w:vAlign w:val="bottom"/>
            <w:shd w:val="clear" w:color="auto" w:fill="CCEEFF"/>
          </w:tcPr>
          <w:p>
            <w:pPr>
              <w:jc w:val="center"/>
              <w:ind w:left="5000"/>
              <w:spacing w:after="0"/>
              <w:rPr>
                <w:sz w:val="20"/>
                <w:szCs w:val="20"/>
                <w:color w:val="auto"/>
              </w:rPr>
            </w:pPr>
            <w:r>
              <w:rPr>
                <w:rFonts w:ascii="Times New Roman" w:cs="Times New Roman" w:eastAsia="Times New Roman" w:hAnsi="Times New Roman"/>
                <w:sz w:val="12"/>
                <w:szCs w:val="12"/>
                <w:color w:val="auto"/>
                <w:w w:val="99"/>
              </w:rPr>
              <w:t>10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6,246</w:t>
            </w: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4,242</w:t>
            </w:r>
          </w:p>
        </w:tc>
      </w:tr>
      <w:tr>
        <w:trPr>
          <w:trHeight w:val="20"/>
        </w:trPr>
        <w:tc>
          <w:tcPr>
            <w:tcW w:w="2060" w:type="dxa"/>
            <w:vAlign w:val="bottom"/>
            <w:shd w:val="clear" w:color="auto" w:fill="CCEEFF"/>
          </w:tcPr>
          <w:p>
            <w:pPr>
              <w:spacing w:after="0" w:line="20" w:lineRule="exact"/>
              <w:rPr>
                <w:sz w:val="1"/>
                <w:szCs w:val="1"/>
                <w:color w:val="auto"/>
              </w:rPr>
            </w:pPr>
          </w:p>
        </w:tc>
        <w:tc>
          <w:tcPr>
            <w:tcW w:w="66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20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6660" w:type="dxa"/>
            <w:vAlign w:val="bottom"/>
          </w:tcPr>
          <w:p>
            <w:pPr>
              <w:spacing w:after="0"/>
              <w:rPr>
                <w:sz w:val="12"/>
                <w:szCs w:val="12"/>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11,815</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8,380</w:t>
            </w:r>
          </w:p>
        </w:tc>
      </w:tr>
      <w:tr>
        <w:trPr>
          <w:trHeight w:val="142"/>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Non-current liabilities</w:t>
            </w:r>
          </w:p>
        </w:tc>
        <w:tc>
          <w:tcPr>
            <w:tcW w:w="666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20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Lease liability</w:t>
            </w:r>
          </w:p>
        </w:tc>
        <w:tc>
          <w:tcPr>
            <w:tcW w:w="66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22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147</w:t>
            </w:r>
          </w:p>
        </w:tc>
      </w:tr>
      <w:tr>
        <w:trPr>
          <w:trHeight w:val="142"/>
        </w:trPr>
        <w:tc>
          <w:tcPr>
            <w:tcW w:w="2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non-current liabilities</w:t>
            </w:r>
          </w:p>
        </w:tc>
        <w:tc>
          <w:tcPr>
            <w:tcW w:w="666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75</w:t>
            </w:r>
          </w:p>
        </w:tc>
        <w:tc>
          <w:tcPr>
            <w:tcW w:w="22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147</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20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6660" w:type="dxa"/>
            <w:vAlign w:val="bottom"/>
          </w:tcPr>
          <w:p>
            <w:pPr>
              <w:spacing w:after="0"/>
              <w:rPr>
                <w:sz w:val="12"/>
                <w:szCs w:val="12"/>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11,890</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8,527</w:t>
            </w:r>
          </w:p>
        </w:tc>
      </w:tr>
      <w:tr>
        <w:trPr>
          <w:trHeight w:val="142"/>
        </w:trPr>
        <w:tc>
          <w:tcPr>
            <w:tcW w:w="2060" w:type="dxa"/>
            <w:vAlign w:val="bottom"/>
            <w:shd w:val="clear" w:color="auto" w:fill="CCEEFF"/>
          </w:tcPr>
          <w:p>
            <w:pPr>
              <w:spacing w:after="0"/>
              <w:rPr>
                <w:sz w:val="12"/>
                <w:szCs w:val="12"/>
                <w:color w:val="auto"/>
              </w:rPr>
            </w:pPr>
          </w:p>
        </w:tc>
        <w:tc>
          <w:tcPr>
            <w:tcW w:w="666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20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Equity attributable to owners</w:t>
            </w:r>
          </w:p>
        </w:tc>
        <w:tc>
          <w:tcPr>
            <w:tcW w:w="6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Share capital</w:t>
            </w:r>
          </w:p>
        </w:tc>
        <w:tc>
          <w:tcPr>
            <w:tcW w:w="66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1,551</w:t>
            </w: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1,551</w:t>
            </w:r>
          </w:p>
        </w:tc>
      </w:tr>
      <w:tr>
        <w:trPr>
          <w:trHeight w:val="144"/>
        </w:trPr>
        <w:tc>
          <w:tcPr>
            <w:tcW w:w="20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66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431,133</w:t>
            </w:r>
          </w:p>
        </w:tc>
        <w:tc>
          <w:tcPr>
            <w:tcW w:w="22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431,061</w:t>
            </w:r>
          </w:p>
        </w:tc>
      </w:tr>
      <w:tr>
        <w:trPr>
          <w:trHeight w:val="144"/>
        </w:trPr>
        <w:tc>
          <w:tcPr>
            <w:tcW w:w="2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Other reserves</w:t>
            </w:r>
          </w:p>
        </w:tc>
        <w:tc>
          <w:tcPr>
            <w:tcW w:w="66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14,876</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13,292</w:t>
            </w:r>
          </w:p>
        </w:tc>
      </w:tr>
      <w:tr>
        <w:trPr>
          <w:trHeight w:val="144"/>
        </w:trPr>
        <w:tc>
          <w:tcPr>
            <w:tcW w:w="20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Foreign currency translation reserve</w:t>
            </w:r>
          </w:p>
        </w:tc>
        <w:tc>
          <w:tcPr>
            <w:tcW w:w="6660" w:type="dxa"/>
            <w:vAlign w:val="bottom"/>
          </w:tcPr>
          <w:p>
            <w:pPr>
              <w:spacing w:after="0"/>
              <w:rPr>
                <w:sz w:val="12"/>
                <w:szCs w:val="12"/>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(10,954)</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(11,776)</w:t>
            </w:r>
          </w:p>
        </w:tc>
      </w:tr>
      <w:tr>
        <w:trPr>
          <w:trHeight w:val="144"/>
        </w:trPr>
        <w:tc>
          <w:tcPr>
            <w:tcW w:w="2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Accumulated deficit</w:t>
            </w:r>
          </w:p>
        </w:tc>
        <w:tc>
          <w:tcPr>
            <w:tcW w:w="66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(173,229)</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(154,425)</w:t>
            </w:r>
          </w:p>
        </w:tc>
      </w:tr>
      <w:tr>
        <w:trPr>
          <w:trHeight w:val="20"/>
        </w:trPr>
        <w:tc>
          <w:tcPr>
            <w:tcW w:w="2060" w:type="dxa"/>
            <w:vAlign w:val="bottom"/>
            <w:shd w:val="clear" w:color="auto" w:fill="CCEEFF"/>
          </w:tcPr>
          <w:p>
            <w:pPr>
              <w:spacing w:after="0" w:line="20" w:lineRule="exact"/>
              <w:rPr>
                <w:sz w:val="1"/>
                <w:szCs w:val="1"/>
                <w:color w:val="auto"/>
              </w:rPr>
            </w:pPr>
          </w:p>
        </w:tc>
        <w:tc>
          <w:tcPr>
            <w:tcW w:w="66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20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equity</w:t>
            </w:r>
          </w:p>
        </w:tc>
        <w:tc>
          <w:tcPr>
            <w:tcW w:w="66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263,377</w:t>
            </w:r>
          </w:p>
        </w:tc>
        <w:tc>
          <w:tcPr>
            <w:tcW w:w="22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279,703</w:t>
            </w:r>
          </w:p>
        </w:tc>
      </w:tr>
      <w:tr>
        <w:trPr>
          <w:trHeight w:val="182"/>
        </w:trPr>
        <w:tc>
          <w:tcPr>
            <w:tcW w:w="2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liabilities and equity</w:t>
            </w:r>
          </w:p>
        </w:tc>
        <w:tc>
          <w:tcPr>
            <w:tcW w:w="66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275,267</w:t>
            </w:r>
          </w:p>
        </w:tc>
        <w:tc>
          <w:tcPr>
            <w:tcW w:w="2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288,230</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381"/>
        </w:trPr>
        <w:tc>
          <w:tcPr>
            <w:tcW w:w="2060" w:type="dxa"/>
            <w:vAlign w:val="bottom"/>
          </w:tcPr>
          <w:p>
            <w:pPr>
              <w:spacing w:after="0"/>
              <w:rPr>
                <w:sz w:val="24"/>
                <w:szCs w:val="24"/>
                <w:color w:val="auto"/>
              </w:rPr>
            </w:pPr>
          </w:p>
        </w:tc>
        <w:tc>
          <w:tcPr>
            <w:tcW w:w="6660" w:type="dxa"/>
            <w:vAlign w:val="bottom"/>
          </w:tcPr>
          <w:p>
            <w:pPr>
              <w:jc w:val="right"/>
              <w:ind w:right="740"/>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these unaudited condensed consolidated interim financial statements.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2</w:t>
            </w:r>
          </w:p>
        </w:tc>
      </w:tr>
      <w:tr>
        <w:trPr>
          <w:trHeight w:val="36"/>
        </w:trPr>
        <w:tc>
          <w:tcPr>
            <w:tcW w:w="2060" w:type="dxa"/>
            <w:vAlign w:val="bottom"/>
            <w:tcBorders>
              <w:bottom w:val="single" w:sz="8" w:color="auto"/>
            </w:tcBorders>
          </w:tcPr>
          <w:p>
            <w:pPr>
              <w:spacing w:after="0"/>
              <w:rPr>
                <w:sz w:val="3"/>
                <w:szCs w:val="3"/>
                <w:color w:val="auto"/>
              </w:rPr>
            </w:pPr>
          </w:p>
        </w:tc>
        <w:tc>
          <w:tcPr>
            <w:tcW w:w="66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pacing w:after="0"/>
        <w:rPr>
          <w:sz w:val="20"/>
          <w:szCs w:val="20"/>
          <w:color w:val="auto"/>
        </w:rPr>
        <w:sectPr>
          <w:pgSz w:w="11900" w:h="16838" w:orient="portrait"/>
          <w:cols w:equalWidth="0" w:num="1">
            <w:col w:w="11300"/>
          </w:cols>
          <w:pgMar w:left="300" w:top="458" w:right="299" w:bottom="1440" w:gutter="0" w:footer="0" w:header="0"/>
        </w:sectPr>
      </w:pPr>
      <w:r>
        <w:rPr>
          <w:sz w:val="20"/>
          <w:szCs w:val="20"/>
          <w:color w:val="auto"/>
        </w:rPr>
        <w:drawing>
          <wp:anchor simplePos="0" relativeHeight="251657728" behindDoc="1" locked="0" layoutInCell="0" allowOverlap="1">
            <wp:simplePos x="0" y="0"/>
            <wp:positionH relativeFrom="page">
              <wp:posOffset>6677660</wp:posOffset>
            </wp:positionH>
            <wp:positionV relativeFrom="page">
              <wp:posOffset>88900</wp:posOffset>
            </wp:positionV>
            <wp:extent cx="685800" cy="2114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685800" cy="211455"/>
                    </a:xfrm>
                    <a:prstGeom prst="rect">
                      <a:avLst/>
                    </a:prstGeom>
                    <a:noFill/>
                  </pic:spPr>
                </pic:pic>
              </a:graphicData>
            </a:graphic>
          </wp:anchor>
        </w:drawing>
      </w:r>
    </w:p>
    <w:bookmarkStart w:id="7" w:name="page8"/>
    <w:bookmarkEnd w:id="7"/>
    <w:tbl>
      <w:tblPr>
        <w:tblLayout w:type="fixed"/>
        <w:tblInd w:w="0" w:type="dxa"/>
        <w:tblCellMar>
          <w:top w:w="0" w:type="dxa"/>
          <w:left w:w="0" w:type="dxa"/>
          <w:bottom w:w="0" w:type="dxa"/>
          <w:right w:w="0" w:type="dxa"/>
        </w:tblCellMar>
      </w:tblPr>
      <w:tr>
        <w:trPr>
          <w:trHeight w:val="159"/>
        </w:trPr>
        <w:tc>
          <w:tcPr>
            <w:tcW w:w="2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GH RESEARCH PLC</w:t>
            </w: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466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Unaudited condensed consolidated interim statement of changes in equity</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2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900"/>
              <w:spacing w:after="0"/>
              <w:rPr>
                <w:sz w:val="20"/>
                <w:szCs w:val="20"/>
                <w:color w:val="auto"/>
              </w:rPr>
            </w:pPr>
            <w:r>
              <w:rPr>
                <w:rFonts w:ascii="Times New Roman" w:cs="Times New Roman" w:eastAsia="Times New Roman" w:hAnsi="Times New Roman"/>
                <w:sz w:val="12"/>
                <w:szCs w:val="12"/>
                <w:b w:val="1"/>
                <w:bCs w:val="1"/>
                <w:color w:val="auto"/>
              </w:rPr>
              <w:t>Attributable to owners</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27"/>
        </w:trPr>
        <w:tc>
          <w:tcPr>
            <w:tcW w:w="2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8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2"/>
                <w:szCs w:val="12"/>
                <w:b w:val="1"/>
                <w:bCs w:val="1"/>
                <w:color w:val="auto"/>
                <w:w w:val="97"/>
              </w:rPr>
              <w:t>Share capital</w:t>
            </w:r>
          </w:p>
        </w:tc>
        <w:tc>
          <w:tcPr>
            <w:tcW w:w="138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134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2"/>
                <w:szCs w:val="12"/>
                <w:b w:val="1"/>
                <w:bCs w:val="1"/>
                <w:color w:val="auto"/>
              </w:rPr>
              <w:t>Other</w:t>
            </w:r>
          </w:p>
        </w:tc>
        <w:tc>
          <w:tcPr>
            <w:tcW w:w="134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2"/>
                <w:szCs w:val="12"/>
                <w:b w:val="1"/>
                <w:bCs w:val="1"/>
                <w:color w:val="auto"/>
                <w:w w:val="99"/>
              </w:rPr>
              <w:t>Foreign</w:t>
            </w:r>
          </w:p>
        </w:tc>
        <w:tc>
          <w:tcPr>
            <w:tcW w:w="134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2"/>
                <w:szCs w:val="12"/>
                <w:b w:val="1"/>
                <w:bCs w:val="1"/>
                <w:color w:val="auto"/>
                <w:w w:val="99"/>
              </w:rPr>
              <w:t>Accumulated</w:t>
            </w:r>
          </w:p>
        </w:tc>
        <w:tc>
          <w:tcPr>
            <w:tcW w:w="1120" w:type="dxa"/>
            <w:vAlign w:val="bottom"/>
          </w:tcPr>
          <w:p>
            <w:pPr>
              <w:jc w:val="right"/>
              <w:ind w:right="360"/>
              <w:spacing w:after="0" w:line="128" w:lineRule="exact"/>
              <w:rPr>
                <w:sz w:val="20"/>
                <w:szCs w:val="20"/>
                <w:color w:val="auto"/>
              </w:rPr>
            </w:pPr>
            <w:r>
              <w:rPr>
                <w:rFonts w:ascii="Times New Roman" w:cs="Times New Roman" w:eastAsia="Times New Roman" w:hAnsi="Times New Roman"/>
                <w:sz w:val="12"/>
                <w:szCs w:val="12"/>
                <w:b w:val="1"/>
                <w:bCs w:val="1"/>
                <w:color w:val="auto"/>
              </w:rPr>
              <w:t>Total</w:t>
            </w:r>
          </w:p>
        </w:tc>
        <w:tc>
          <w:tcPr>
            <w:tcW w:w="120" w:type="dxa"/>
            <w:vAlign w:val="bottom"/>
          </w:tcPr>
          <w:p>
            <w:pPr>
              <w:spacing w:after="0"/>
              <w:rPr>
                <w:sz w:val="11"/>
                <w:szCs w:val="11"/>
                <w:color w:val="auto"/>
              </w:rPr>
            </w:pPr>
          </w:p>
        </w:tc>
      </w:tr>
      <w:tr>
        <w:trPr>
          <w:trHeight w:val="144"/>
        </w:trPr>
        <w:tc>
          <w:tcPr>
            <w:tcW w:w="2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7"/>
              </w:rPr>
              <w:t>paid-in</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reserves</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currency</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7"/>
              </w:rPr>
              <w:t>capital</w:t>
            </w: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translation</w:t>
            </w: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6"/>
              </w:rPr>
              <w:t>reserve</w:t>
            </w: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9"/>
        </w:trPr>
        <w:tc>
          <w:tcPr>
            <w:tcW w:w="2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$’000</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$’000</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$’000</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$’000</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$’000</w:t>
            </w: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$’000</w:t>
            </w:r>
          </w:p>
        </w:tc>
      </w:tr>
      <w:tr>
        <w:trPr>
          <w:trHeight w:val="142"/>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At January 1, 2025</w:t>
            </w:r>
          </w:p>
        </w:tc>
        <w:tc>
          <w:tcPr>
            <w:tcW w:w="1140" w:type="dxa"/>
            <w:vAlign w:val="bottom"/>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1,301</w:t>
            </w:r>
          </w:p>
        </w:tc>
        <w:tc>
          <w:tcPr>
            <w:tcW w:w="240" w:type="dxa"/>
            <w:vAlign w:val="bottom"/>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291,463</w:t>
            </w:r>
          </w:p>
        </w:tc>
        <w:tc>
          <w:tcPr>
            <w:tcW w:w="24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5,194</w:t>
            </w: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(12,561)</w:t>
            </w: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(106,446)</w:t>
            </w: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178,951</w:t>
            </w:r>
          </w:p>
        </w:tc>
        <w:tc>
          <w:tcPr>
            <w:tcW w:w="120" w:type="dxa"/>
            <w:vAlign w:val="bottom"/>
            <w:shd w:val="clear" w:color="auto" w:fill="CCEEFF"/>
          </w:tcPr>
          <w:p>
            <w:pPr>
              <w:spacing w:after="0"/>
              <w:rPr>
                <w:sz w:val="12"/>
                <w:szCs w:val="12"/>
                <w:color w:val="auto"/>
              </w:rPr>
            </w:pPr>
          </w:p>
        </w:tc>
      </w:tr>
      <w:tr>
        <w:trPr>
          <w:trHeight w:val="144"/>
        </w:trPr>
        <w:tc>
          <w:tcPr>
            <w:tcW w:w="21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Loss for the period</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Pr>
          <w:p>
            <w:pPr>
              <w:spacing w:after="0"/>
              <w:rPr>
                <w:sz w:val="12"/>
                <w:szCs w:val="12"/>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(10,812)</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(10,812)</w:t>
            </w:r>
          </w:p>
        </w:tc>
      </w:tr>
      <w:tr>
        <w:trPr>
          <w:trHeight w:val="144"/>
        </w:trPr>
        <w:tc>
          <w:tcPr>
            <w:tcW w:w="2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Other comprehensive income</w:t>
            </w:r>
          </w:p>
        </w:tc>
        <w:tc>
          <w:tcPr>
            <w:tcW w:w="1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532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592</w:t>
            </w:r>
          </w:p>
        </w:tc>
      </w:tr>
      <w:tr>
        <w:trPr>
          <w:trHeight w:val="20"/>
        </w:trPr>
        <w:tc>
          <w:tcPr>
            <w:tcW w:w="21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2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comprehensive loss for the period</w:t>
            </w:r>
          </w:p>
        </w:tc>
        <w:tc>
          <w:tcPr>
            <w:tcW w:w="11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Pr>
          <w:p>
            <w:pPr>
              <w:spacing w:after="0"/>
              <w:rPr>
                <w:sz w:val="12"/>
                <w:szCs w:val="12"/>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60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532</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(10,812)</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(10,220)</w:t>
            </w:r>
          </w:p>
        </w:tc>
      </w:tr>
      <w:tr>
        <w:trPr>
          <w:trHeight w:val="142"/>
        </w:trPr>
        <w:tc>
          <w:tcPr>
            <w:tcW w:w="2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Share-based compensation expense</w:t>
            </w:r>
          </w:p>
        </w:tc>
        <w:tc>
          <w:tcPr>
            <w:tcW w:w="1140" w:type="dxa"/>
            <w:vAlign w:val="bottom"/>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1,635</w:t>
            </w: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1,635</w:t>
            </w:r>
          </w:p>
        </w:tc>
        <w:tc>
          <w:tcPr>
            <w:tcW w:w="120" w:type="dxa"/>
            <w:vAlign w:val="bottom"/>
            <w:shd w:val="clear" w:color="auto" w:fill="CCEEFF"/>
          </w:tcPr>
          <w:p>
            <w:pPr>
              <w:spacing w:after="0"/>
              <w:rPr>
                <w:sz w:val="12"/>
                <w:szCs w:val="12"/>
                <w:color w:val="auto"/>
              </w:rPr>
            </w:pPr>
          </w:p>
        </w:tc>
      </w:tr>
      <w:tr>
        <w:trPr>
          <w:trHeight w:val="144"/>
        </w:trPr>
        <w:tc>
          <w:tcPr>
            <w:tcW w:w="21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Transfer of share options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(218)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218</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2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Issue of share capital</w:t>
            </w:r>
          </w:p>
        </w:tc>
        <w:tc>
          <w:tcPr>
            <w:tcW w:w="1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w:t>
            </w: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139,598</w:t>
            </w:r>
          </w:p>
        </w:tc>
        <w:tc>
          <w:tcPr>
            <w:tcW w:w="2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139,848</w:t>
            </w:r>
          </w:p>
        </w:tc>
      </w:tr>
      <w:tr>
        <w:trPr>
          <w:trHeight w:val="20"/>
        </w:trPr>
        <w:tc>
          <w:tcPr>
            <w:tcW w:w="21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2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transactions with owners</w:t>
            </w:r>
          </w:p>
        </w:tc>
        <w:tc>
          <w:tcPr>
            <w:tcW w:w="11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250</w:t>
            </w:r>
          </w:p>
        </w:tc>
        <w:tc>
          <w:tcPr>
            <w:tcW w:w="2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139,598</w:t>
            </w:r>
          </w:p>
        </w:tc>
        <w:tc>
          <w:tcPr>
            <w:tcW w:w="240" w:type="dxa"/>
            <w:vAlign w:val="bottom"/>
          </w:tcPr>
          <w:p>
            <w:pPr>
              <w:spacing w:after="0"/>
              <w:rPr>
                <w:sz w:val="12"/>
                <w:szCs w:val="12"/>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1,417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218</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141,483</w:t>
            </w:r>
          </w:p>
        </w:tc>
      </w:tr>
      <w:tr>
        <w:trPr>
          <w:trHeight w:val="182"/>
        </w:trPr>
        <w:tc>
          <w:tcPr>
            <w:tcW w:w="2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At March 31, 2025</w:t>
            </w:r>
          </w:p>
        </w:tc>
        <w:tc>
          <w:tcPr>
            <w:tcW w:w="11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1,551</w:t>
            </w:r>
          </w:p>
        </w:tc>
        <w:tc>
          <w:tcPr>
            <w:tcW w:w="2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431,061</w:t>
            </w:r>
          </w:p>
        </w:tc>
        <w:tc>
          <w:tcPr>
            <w:tcW w:w="2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6,671</w:t>
            </w:r>
          </w:p>
        </w:tc>
        <w:tc>
          <w:tcPr>
            <w:tcW w:w="2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(12,029)</w:t>
            </w:r>
          </w:p>
        </w:tc>
        <w:tc>
          <w:tcPr>
            <w:tcW w:w="2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(117,040)</w:t>
            </w:r>
          </w:p>
        </w:tc>
        <w:tc>
          <w:tcPr>
            <w:tcW w:w="2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310,214</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120"/>
        </w:trPr>
        <w:tc>
          <w:tcPr>
            <w:tcW w:w="2140" w:type="dxa"/>
            <w:vAlign w:val="bottom"/>
          </w:tcPr>
          <w:p>
            <w:pPr>
              <w:spacing w:after="0"/>
              <w:rPr>
                <w:sz w:val="10"/>
                <w:szCs w:val="10"/>
                <w:color w:val="auto"/>
              </w:rPr>
            </w:pPr>
          </w:p>
        </w:tc>
        <w:tc>
          <w:tcPr>
            <w:tcW w:w="228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2"/>
          </w:tcPr>
          <w:p>
            <w:pPr>
              <w:spacing w:after="0"/>
              <w:rPr>
                <w:sz w:val="10"/>
                <w:szCs w:val="10"/>
                <w:color w:val="auto"/>
              </w:rPr>
            </w:pPr>
          </w:p>
        </w:tc>
        <w:tc>
          <w:tcPr>
            <w:tcW w:w="1340" w:type="dxa"/>
            <w:vAlign w:val="bottom"/>
            <w:gridSpan w:val="2"/>
          </w:tcPr>
          <w:p>
            <w:pPr>
              <w:spacing w:after="0"/>
              <w:rPr>
                <w:sz w:val="10"/>
                <w:szCs w:val="10"/>
                <w:color w:val="auto"/>
              </w:rPr>
            </w:pPr>
          </w:p>
        </w:tc>
        <w:tc>
          <w:tcPr>
            <w:tcW w:w="1340" w:type="dxa"/>
            <w:vAlign w:val="bottom"/>
            <w:gridSpan w:val="2"/>
          </w:tcPr>
          <w:p>
            <w:pPr>
              <w:spacing w:after="0"/>
              <w:rPr>
                <w:sz w:val="10"/>
                <w:szCs w:val="10"/>
                <w:color w:val="auto"/>
              </w:rPr>
            </w:pPr>
          </w:p>
        </w:tc>
        <w:tc>
          <w:tcPr>
            <w:tcW w:w="1340" w:type="dxa"/>
            <w:vAlign w:val="bottom"/>
            <w:gridSpan w:val="2"/>
          </w:tcPr>
          <w:p>
            <w:pPr>
              <w:spacing w:after="0"/>
              <w:rPr>
                <w:sz w:val="10"/>
                <w:szCs w:val="10"/>
                <w:color w:val="auto"/>
              </w:rPr>
            </w:pPr>
          </w:p>
        </w:tc>
        <w:tc>
          <w:tcPr>
            <w:tcW w:w="1240" w:type="dxa"/>
            <w:vAlign w:val="bottom"/>
            <w:gridSpan w:val="2"/>
          </w:tcPr>
          <w:p>
            <w:pPr>
              <w:spacing w:after="0"/>
              <w:rPr>
                <w:sz w:val="10"/>
                <w:szCs w:val="10"/>
                <w:color w:val="auto"/>
              </w:rPr>
            </w:pPr>
          </w:p>
        </w:tc>
      </w:tr>
      <w:tr>
        <w:trPr>
          <w:trHeight w:val="144"/>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At January 1, 2026</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1,551</w:t>
            </w:r>
          </w:p>
        </w:tc>
        <w:tc>
          <w:tcPr>
            <w:tcW w:w="2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431,061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13,292</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(11,776)</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(154,425)</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279,703</w:t>
            </w:r>
          </w:p>
        </w:tc>
      </w:tr>
      <w:tr>
        <w:trPr>
          <w:trHeight w:val="144"/>
        </w:trPr>
        <w:tc>
          <w:tcPr>
            <w:tcW w:w="21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Loss for the period</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Pr>
          <w:p>
            <w:pPr>
              <w:spacing w:after="0"/>
              <w:rPr>
                <w:sz w:val="12"/>
                <w:szCs w:val="12"/>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(18,967)</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(18,967)</w:t>
            </w:r>
          </w:p>
        </w:tc>
      </w:tr>
      <w:tr>
        <w:trPr>
          <w:trHeight w:val="144"/>
        </w:trPr>
        <w:tc>
          <w:tcPr>
            <w:tcW w:w="2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Other comprehensive (loss)/income</w:t>
            </w:r>
          </w:p>
        </w:tc>
        <w:tc>
          <w:tcPr>
            <w:tcW w:w="1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(84)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822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738</w:t>
            </w:r>
          </w:p>
        </w:tc>
      </w:tr>
      <w:tr>
        <w:trPr>
          <w:trHeight w:val="20"/>
        </w:trPr>
        <w:tc>
          <w:tcPr>
            <w:tcW w:w="21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2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comprehensive loss for the period</w:t>
            </w:r>
          </w:p>
        </w:tc>
        <w:tc>
          <w:tcPr>
            <w:tcW w:w="11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Pr>
          <w:p>
            <w:pPr>
              <w:spacing w:after="0"/>
              <w:rPr>
                <w:sz w:val="12"/>
                <w:szCs w:val="12"/>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(84)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822</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(18,967)</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(18,229)</w:t>
            </w:r>
          </w:p>
        </w:tc>
      </w:tr>
      <w:tr>
        <w:trPr>
          <w:trHeight w:val="142"/>
        </w:trPr>
        <w:tc>
          <w:tcPr>
            <w:tcW w:w="2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Share-based compensation expense</w:t>
            </w:r>
          </w:p>
        </w:tc>
        <w:tc>
          <w:tcPr>
            <w:tcW w:w="1140" w:type="dxa"/>
            <w:vAlign w:val="bottom"/>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1,831</w:t>
            </w: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1,831</w:t>
            </w:r>
          </w:p>
        </w:tc>
        <w:tc>
          <w:tcPr>
            <w:tcW w:w="120" w:type="dxa"/>
            <w:vAlign w:val="bottom"/>
            <w:shd w:val="clear" w:color="auto" w:fill="CCEEFF"/>
          </w:tcPr>
          <w:p>
            <w:pPr>
              <w:spacing w:after="0"/>
              <w:rPr>
                <w:sz w:val="12"/>
                <w:szCs w:val="12"/>
                <w:color w:val="auto"/>
              </w:rPr>
            </w:pPr>
          </w:p>
        </w:tc>
      </w:tr>
      <w:tr>
        <w:trPr>
          <w:trHeight w:val="144"/>
        </w:trPr>
        <w:tc>
          <w:tcPr>
            <w:tcW w:w="21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Share option exercises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72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72</w:t>
            </w:r>
          </w:p>
        </w:tc>
      </w:tr>
      <w:tr>
        <w:trPr>
          <w:trHeight w:val="144"/>
        </w:trPr>
        <w:tc>
          <w:tcPr>
            <w:tcW w:w="2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Transfer of share options</w:t>
            </w:r>
          </w:p>
        </w:tc>
        <w:tc>
          <w:tcPr>
            <w:tcW w:w="1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(163)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163</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21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2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transactions with owners</w:t>
            </w:r>
          </w:p>
        </w:tc>
        <w:tc>
          <w:tcPr>
            <w:tcW w:w="11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72</w:t>
            </w:r>
          </w:p>
        </w:tc>
        <w:tc>
          <w:tcPr>
            <w:tcW w:w="240" w:type="dxa"/>
            <w:vAlign w:val="bottom"/>
          </w:tcPr>
          <w:p>
            <w:pPr>
              <w:spacing w:after="0"/>
              <w:rPr>
                <w:sz w:val="12"/>
                <w:szCs w:val="12"/>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1,668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163</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1,903</w:t>
            </w:r>
          </w:p>
        </w:tc>
      </w:tr>
      <w:tr>
        <w:trPr>
          <w:trHeight w:val="182"/>
        </w:trPr>
        <w:tc>
          <w:tcPr>
            <w:tcW w:w="2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At March 31, 2026</w:t>
            </w:r>
          </w:p>
        </w:tc>
        <w:tc>
          <w:tcPr>
            <w:tcW w:w="11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1,551</w:t>
            </w:r>
          </w:p>
        </w:tc>
        <w:tc>
          <w:tcPr>
            <w:tcW w:w="2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431,133</w:t>
            </w:r>
          </w:p>
        </w:tc>
        <w:tc>
          <w:tcPr>
            <w:tcW w:w="2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14,876</w:t>
            </w:r>
          </w:p>
        </w:tc>
        <w:tc>
          <w:tcPr>
            <w:tcW w:w="2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(10,954)</w:t>
            </w:r>
          </w:p>
        </w:tc>
        <w:tc>
          <w:tcPr>
            <w:tcW w:w="2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(173,229)</w:t>
            </w:r>
          </w:p>
        </w:tc>
        <w:tc>
          <w:tcPr>
            <w:tcW w:w="2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263,377</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381"/>
        </w:trPr>
        <w:tc>
          <w:tcPr>
            <w:tcW w:w="2140" w:type="dxa"/>
            <w:vAlign w:val="bottom"/>
          </w:tcPr>
          <w:p>
            <w:pPr>
              <w:spacing w:after="0"/>
              <w:rPr>
                <w:sz w:val="24"/>
                <w:szCs w:val="24"/>
                <w:color w:val="auto"/>
              </w:rPr>
            </w:pPr>
          </w:p>
        </w:tc>
        <w:tc>
          <w:tcPr>
            <w:tcW w:w="6580" w:type="dxa"/>
            <w:vAlign w:val="bottom"/>
            <w:gridSpan w:val="9"/>
          </w:tcPr>
          <w:p>
            <w:pPr>
              <w:jc w:val="right"/>
              <w:ind w:right="800"/>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these unaudited condensed consolidated interim financial statements.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3</w:t>
            </w:r>
          </w:p>
        </w:tc>
      </w:tr>
      <w:tr>
        <w:trPr>
          <w:trHeight w:val="36"/>
        </w:trPr>
        <w:tc>
          <w:tcPr>
            <w:tcW w:w="2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pacing w:after="0"/>
        <w:rPr>
          <w:sz w:val="20"/>
          <w:szCs w:val="20"/>
          <w:color w:val="auto"/>
        </w:rPr>
        <w:sectPr>
          <w:pgSz w:w="11900" w:h="16838" w:orient="portrait"/>
          <w:cols w:equalWidth="0" w:num="1">
            <w:col w:w="11300"/>
          </w:cols>
          <w:pgMar w:left="300" w:top="458" w:right="299" w:bottom="1440" w:gutter="0" w:footer="0" w:header="0"/>
        </w:sectPr>
      </w:pPr>
      <w:r>
        <w:rPr>
          <w:sz w:val="20"/>
          <w:szCs w:val="20"/>
          <w:color w:val="auto"/>
        </w:rPr>
        <w:drawing>
          <wp:anchor simplePos="0" relativeHeight="251657728" behindDoc="1" locked="0" layoutInCell="0" allowOverlap="1">
            <wp:simplePos x="0" y="0"/>
            <wp:positionH relativeFrom="page">
              <wp:posOffset>6677660</wp:posOffset>
            </wp:positionH>
            <wp:positionV relativeFrom="page">
              <wp:posOffset>88900</wp:posOffset>
            </wp:positionV>
            <wp:extent cx="685800" cy="2114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85800" cy="211455"/>
                    </a:xfrm>
                    <a:prstGeom prst="rect">
                      <a:avLst/>
                    </a:prstGeom>
                    <a:noFill/>
                  </pic:spPr>
                </pic:pic>
              </a:graphicData>
            </a:graphic>
          </wp:anchor>
        </w:drawing>
      </w:r>
    </w:p>
    <w:bookmarkStart w:id="8" w:name="page9"/>
    <w:bookmarkEnd w:id="8"/>
    <w:p>
      <w:pP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6677660</wp:posOffset>
            </wp:positionH>
            <wp:positionV relativeFrom="page">
              <wp:posOffset>88900</wp:posOffset>
            </wp:positionV>
            <wp:extent cx="685800" cy="2114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85800" cy="211455"/>
                    </a:xfrm>
                    <a:prstGeom prst="rect">
                      <a:avLst/>
                    </a:prstGeom>
                    <a:noFill/>
                  </pic:spPr>
                </pic:pic>
              </a:graphicData>
            </a:graphic>
          </wp:anchor>
        </w:drawing>
        <w:t>GH RESEARCH PLC</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Unaudited condensed consolidated interim statement of cash flows</w:t>
      </w:r>
    </w:p>
    <w:p>
      <w:pPr>
        <w:spacing w:after="0" w:line="150"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2"/>
          <w:szCs w:val="12"/>
          <w:b w:val="1"/>
          <w:bCs w:val="1"/>
          <w:color w:val="auto"/>
        </w:rPr>
        <w:t>Three months ended</w:t>
      </w:r>
    </w:p>
    <w:p>
      <w:pPr>
        <w:spacing w:after="0" w:line="21"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2"/>
          <w:szCs w:val="12"/>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700" w:type="dxa"/>
            <w:vAlign w:val="bottom"/>
          </w:tcPr>
          <w:p>
            <w:pPr>
              <w:spacing w:after="0"/>
              <w:rPr>
                <w:sz w:val="11"/>
                <w:szCs w:val="11"/>
                <w:color w:val="auto"/>
              </w:rPr>
            </w:pPr>
          </w:p>
        </w:tc>
        <w:tc>
          <w:tcPr>
            <w:tcW w:w="740" w:type="dxa"/>
            <w:vAlign w:val="bottom"/>
            <w:tcBorders>
              <w:top w:val="single" w:sz="8" w:color="auto"/>
            </w:tcBorders>
          </w:tcPr>
          <w:p>
            <w:pPr>
              <w:jc w:val="right"/>
              <w:spacing w:after="0" w:line="128" w:lineRule="exact"/>
              <w:rPr>
                <w:sz w:val="20"/>
                <w:szCs w:val="20"/>
                <w:color w:val="auto"/>
              </w:rPr>
            </w:pPr>
            <w:r>
              <w:rPr>
                <w:rFonts w:ascii="Times New Roman" w:cs="Times New Roman" w:eastAsia="Times New Roman" w:hAnsi="Times New Roman"/>
                <w:sz w:val="12"/>
                <w:szCs w:val="12"/>
                <w:b w:val="1"/>
                <w:bCs w:val="1"/>
                <w:color w:val="auto"/>
              </w:rPr>
              <w:t>2026</w:t>
            </w:r>
          </w:p>
        </w:tc>
        <w:tc>
          <w:tcPr>
            <w:tcW w:w="4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380"/>
              <w:spacing w:after="0" w:line="128" w:lineRule="exact"/>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Pr>
          <w:p>
            <w:pPr>
              <w:spacing w:after="0"/>
              <w:rPr>
                <w:sz w:val="11"/>
                <w:szCs w:val="11"/>
                <w:color w:val="auto"/>
              </w:rPr>
            </w:pPr>
          </w:p>
        </w:tc>
      </w:tr>
      <w:tr>
        <w:trPr>
          <w:trHeight w:val="159"/>
        </w:trPr>
        <w:tc>
          <w:tcPr>
            <w:tcW w:w="8700" w:type="dxa"/>
            <w:vAlign w:val="bottom"/>
          </w:tcPr>
          <w:p>
            <w:pPr>
              <w:spacing w:after="0"/>
              <w:rPr>
                <w:sz w:val="13"/>
                <w:szCs w:val="13"/>
                <w:color w:val="auto"/>
              </w:rPr>
            </w:pPr>
          </w:p>
        </w:tc>
        <w:tc>
          <w:tcPr>
            <w:tcW w:w="740" w:type="dxa"/>
            <w:vAlign w:val="bottom"/>
          </w:tcPr>
          <w:p>
            <w:pPr>
              <w:jc w:val="center"/>
              <w:ind w:left="360"/>
              <w:spacing w:after="0"/>
              <w:rPr>
                <w:sz w:val="20"/>
                <w:szCs w:val="20"/>
                <w:color w:val="auto"/>
              </w:rPr>
            </w:pPr>
            <w:r>
              <w:rPr>
                <w:rFonts w:ascii="Times New Roman" w:cs="Times New Roman" w:eastAsia="Times New Roman" w:hAnsi="Times New Roman"/>
                <w:sz w:val="12"/>
                <w:szCs w:val="12"/>
                <w:b w:val="1"/>
                <w:bCs w:val="1"/>
                <w:color w:val="auto"/>
                <w:w w:val="99"/>
              </w:rPr>
              <w:t>$’000</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$’000</w:t>
            </w:r>
          </w:p>
        </w:tc>
      </w:tr>
      <w:tr>
        <w:trPr>
          <w:trHeight w:val="14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74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94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Loss for the period</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(18,967)</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(10,812)</w:t>
            </w:r>
          </w:p>
        </w:tc>
      </w:tr>
      <w:tr>
        <w:trPr>
          <w:trHeight w:val="144"/>
        </w:trPr>
        <w:tc>
          <w:tcPr>
            <w:tcW w:w="9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Depreciation</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w:t>
            </w: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76</w:t>
            </w:r>
          </w:p>
        </w:tc>
      </w:tr>
      <w:tr>
        <w:trPr>
          <w:trHeight w:val="144"/>
        </w:trPr>
        <w:tc>
          <w:tcPr>
            <w:tcW w:w="94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Share-based compensation expense</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1,831</w:t>
            </w:r>
          </w:p>
        </w:tc>
        <w:tc>
          <w:tcPr>
            <w:tcW w:w="22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1,635</w:t>
            </w:r>
          </w:p>
        </w:tc>
      </w:tr>
      <w:tr>
        <w:trPr>
          <w:trHeight w:val="144"/>
        </w:trPr>
        <w:tc>
          <w:tcPr>
            <w:tcW w:w="9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Finance income</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(2,194)</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(2,759)</w:t>
            </w:r>
          </w:p>
        </w:tc>
      </w:tr>
      <w:tr>
        <w:trPr>
          <w:trHeight w:val="144"/>
        </w:trPr>
        <w:tc>
          <w:tcPr>
            <w:tcW w:w="94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Finance expense</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22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178</w:t>
            </w:r>
          </w:p>
        </w:tc>
      </w:tr>
      <w:tr>
        <w:trPr>
          <w:trHeight w:val="144"/>
        </w:trPr>
        <w:tc>
          <w:tcPr>
            <w:tcW w:w="9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Movement of expected credit loss</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19</w:t>
            </w:r>
          </w:p>
        </w:tc>
      </w:tr>
      <w:tr>
        <w:trPr>
          <w:trHeight w:val="144"/>
        </w:trPr>
        <w:tc>
          <w:tcPr>
            <w:tcW w:w="94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Foreign exchange loss</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2,329</w:t>
            </w:r>
          </w:p>
        </w:tc>
        <w:tc>
          <w:tcPr>
            <w:tcW w:w="22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642</w:t>
            </w:r>
          </w:p>
        </w:tc>
      </w:tr>
      <w:tr>
        <w:trPr>
          <w:trHeight w:val="144"/>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Movement in working capital</w:t>
            </w: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2,961</w:t>
            </w: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213</w:t>
            </w:r>
          </w:p>
        </w:tc>
      </w:tr>
      <w:tr>
        <w:trPr>
          <w:trHeight w:val="20"/>
        </w:trPr>
        <w:tc>
          <w:tcPr>
            <w:tcW w:w="87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8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Cash flows used in operating activities</w:t>
            </w:r>
          </w:p>
        </w:tc>
        <w:tc>
          <w:tcPr>
            <w:tcW w:w="740" w:type="dxa"/>
            <w:vAlign w:val="bottom"/>
          </w:tcPr>
          <w:p>
            <w:pPr>
              <w:spacing w:after="0"/>
              <w:rPr>
                <w:sz w:val="12"/>
                <w:szCs w:val="12"/>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(13,866)</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(10,808)</w:t>
            </w:r>
          </w:p>
        </w:tc>
      </w:tr>
      <w:tr>
        <w:trPr>
          <w:trHeight w:val="144"/>
        </w:trPr>
        <w:tc>
          <w:tcPr>
            <w:tcW w:w="9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Finance expense paid</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(172)</w:t>
            </w:r>
          </w:p>
        </w:tc>
      </w:tr>
      <w:tr>
        <w:trPr>
          <w:trHeight w:val="144"/>
        </w:trPr>
        <w:tc>
          <w:tcPr>
            <w:tcW w:w="94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Finance income received</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3,198</w:t>
            </w:r>
          </w:p>
        </w:tc>
        <w:tc>
          <w:tcPr>
            <w:tcW w:w="22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2,407</w:t>
            </w:r>
          </w:p>
        </w:tc>
      </w:tr>
      <w:tr>
        <w:trPr>
          <w:trHeight w:val="142"/>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cash used in operating activities</w:t>
            </w:r>
          </w:p>
        </w:tc>
        <w:tc>
          <w:tcPr>
            <w:tcW w:w="740" w:type="dxa"/>
            <w:vAlign w:val="bottom"/>
            <w:tcBorders>
              <w:top w:val="single" w:sz="8" w:color="auto"/>
              <w:bottom w:val="single" w:sz="8" w:color="auto"/>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2"/>
              </w:rPr>
              <w:t>(10,669)</w:t>
            </w:r>
          </w:p>
        </w:tc>
        <w:tc>
          <w:tcPr>
            <w:tcW w:w="22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(8,573)</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9440" w:type="dxa"/>
            <w:vAlign w:val="bottom"/>
            <w:gridSpan w:val="2"/>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9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94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Purchase of property, plant and equipment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(63)</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w:t>
            </w:r>
          </w:p>
        </w:tc>
      </w:tr>
      <w:tr>
        <w:trPr>
          <w:trHeight w:val="144"/>
        </w:trPr>
        <w:tc>
          <w:tcPr>
            <w:tcW w:w="9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Proceeds from sale of other financial assets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7,000</w:t>
            </w:r>
          </w:p>
        </w:tc>
      </w:tr>
      <w:tr>
        <w:trPr>
          <w:trHeight w:val="144"/>
        </w:trPr>
        <w:tc>
          <w:tcPr>
            <w:tcW w:w="94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Proceeds from redemptions and disposals of marketable securities</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8,700</w:t>
            </w:r>
          </w:p>
        </w:tc>
        <w:tc>
          <w:tcPr>
            <w:tcW w:w="22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4,842</w:t>
            </w:r>
          </w:p>
        </w:tc>
      </w:tr>
      <w:tr>
        <w:trPr>
          <w:trHeight w:val="142"/>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740" w:type="dxa"/>
            <w:vAlign w:val="bottom"/>
            <w:tcBorders>
              <w:top w:val="single" w:sz="8" w:color="auto"/>
              <w:bottom w:val="single" w:sz="8" w:color="auto"/>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8,637</w:t>
            </w:r>
          </w:p>
        </w:tc>
        <w:tc>
          <w:tcPr>
            <w:tcW w:w="22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11,838</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9440" w:type="dxa"/>
            <w:vAlign w:val="bottom"/>
            <w:gridSpan w:val="2"/>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9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94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Payment of lease liability</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(70)</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9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Proceeds from share issuances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150,000</w:t>
            </w:r>
          </w:p>
        </w:tc>
      </w:tr>
      <w:tr>
        <w:trPr>
          <w:trHeight w:val="144"/>
        </w:trPr>
        <w:tc>
          <w:tcPr>
            <w:tcW w:w="94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Transaction costs from share issuances</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(9,142)</w:t>
            </w:r>
          </w:p>
        </w:tc>
      </w:tr>
      <w:tr>
        <w:trPr>
          <w:trHeight w:val="142"/>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cash flows from financing activities</w:t>
            </w:r>
          </w:p>
        </w:tc>
        <w:tc>
          <w:tcPr>
            <w:tcW w:w="740" w:type="dxa"/>
            <w:vAlign w:val="bottom"/>
            <w:tcBorders>
              <w:top w:val="single" w:sz="8" w:color="auto"/>
              <w:bottom w:val="single" w:sz="8" w:color="auto"/>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w:t>
            </w:r>
          </w:p>
        </w:tc>
        <w:tc>
          <w:tcPr>
            <w:tcW w:w="22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140,858</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9440" w:type="dxa"/>
            <w:vAlign w:val="bottom"/>
            <w:gridSpan w:val="2"/>
          </w:tcPr>
          <w:p>
            <w:pPr>
              <w:spacing w:after="0"/>
              <w:rPr>
                <w:sz w:val="12"/>
                <w:szCs w:val="12"/>
                <w:color w:val="auto"/>
              </w:rPr>
            </w:pPr>
          </w:p>
        </w:tc>
        <w:tc>
          <w:tcPr>
            <w:tcW w:w="620" w:type="dxa"/>
            <w:vAlign w:val="bottom"/>
            <w:gridSpan w:val="2"/>
          </w:tcPr>
          <w:p>
            <w:pPr>
              <w:spacing w:after="0"/>
              <w:rPr>
                <w:sz w:val="12"/>
                <w:szCs w:val="12"/>
                <w:color w:val="auto"/>
              </w:rPr>
            </w:pPr>
          </w:p>
        </w:tc>
        <w:tc>
          <w:tcPr>
            <w:tcW w:w="1240" w:type="dxa"/>
            <w:vAlign w:val="bottom"/>
            <w:gridSpan w:val="2"/>
          </w:tcPr>
          <w:p>
            <w:pPr>
              <w:spacing w:after="0"/>
              <w:rPr>
                <w:sz w:val="12"/>
                <w:szCs w:val="12"/>
                <w:color w:val="auto"/>
              </w:rPr>
            </w:pPr>
          </w:p>
        </w:tc>
      </w:tr>
      <w:tr>
        <w:trPr>
          <w:trHeight w:val="144"/>
        </w:trPr>
        <w:tc>
          <w:tcPr>
            <w:tcW w:w="9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(decrease)/increase in cash and cash equivalents</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(2,030)</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144,123</w:t>
            </w:r>
          </w:p>
        </w:tc>
      </w:tr>
      <w:tr>
        <w:trPr>
          <w:trHeight w:val="144"/>
        </w:trPr>
        <w:tc>
          <w:tcPr>
            <w:tcW w:w="94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Cash and cash equivalents at the beginning of the period</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7"/>
              </w:rPr>
              <w:t>246,251</w:t>
            </w:r>
          </w:p>
        </w:tc>
        <w:tc>
          <w:tcPr>
            <w:tcW w:w="22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100,791</w:t>
            </w:r>
          </w:p>
        </w:tc>
      </w:tr>
      <w:tr>
        <w:trPr>
          <w:trHeight w:val="144"/>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Impact of foreign exchange on cash and cash equivalents</w:t>
            </w:r>
          </w:p>
        </w:tc>
        <w:tc>
          <w:tcPr>
            <w:tcW w:w="7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(1,569)</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40</w:t>
            </w:r>
          </w:p>
        </w:tc>
      </w:tr>
      <w:tr>
        <w:trPr>
          <w:trHeight w:val="20"/>
        </w:trPr>
        <w:tc>
          <w:tcPr>
            <w:tcW w:w="87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8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Cash and cash equivalents at the end of the period</w:t>
            </w:r>
          </w:p>
        </w:tc>
        <w:tc>
          <w:tcPr>
            <w:tcW w:w="7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242,652</w:t>
            </w:r>
          </w:p>
        </w:tc>
        <w:tc>
          <w:tcPr>
            <w:tcW w:w="22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244,954</w:t>
            </w:r>
          </w:p>
        </w:tc>
      </w:tr>
      <w:tr>
        <w:trPr>
          <w:trHeight w:val="20"/>
        </w:trPr>
        <w:tc>
          <w:tcPr>
            <w:tcW w:w="87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1"/>
        </w:trPr>
        <w:tc>
          <w:tcPr>
            <w:tcW w:w="9440" w:type="dxa"/>
            <w:vAlign w:val="bottom"/>
            <w:gridSpan w:val="2"/>
          </w:tcPr>
          <w:p>
            <w:pPr>
              <w:ind w:left="2260"/>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these unaudited condensed consolidated interim financial statements.</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4</w:t>
            </w:r>
          </w:p>
        </w:tc>
      </w:tr>
      <w:tr>
        <w:trPr>
          <w:trHeight w:val="36"/>
        </w:trPr>
        <w:tc>
          <w:tcPr>
            <w:tcW w:w="87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300"/>
          </w:cols>
          <w:pgMar w:left="300" w:top="458" w:right="299" w:bottom="1440" w:gutter="0" w:footer="0" w:header="0"/>
        </w:sectPr>
      </w:pPr>
    </w:p>
    <w:bookmarkStart w:id="9" w:name="page10"/>
    <w:bookmarkEnd w:id="9"/>
    <w:p>
      <w:pPr>
        <w:ind w:left="8"/>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6677660</wp:posOffset>
            </wp:positionH>
            <wp:positionV relativeFrom="page">
              <wp:posOffset>88900</wp:posOffset>
            </wp:positionV>
            <wp:extent cx="685800" cy="2114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85800" cy="211455"/>
                    </a:xfrm>
                    <a:prstGeom prst="rect">
                      <a:avLst/>
                    </a:prstGeom>
                    <a:noFill/>
                  </pic:spPr>
                </pic:pic>
              </a:graphicData>
            </a:graphic>
          </wp:anchor>
        </w:drawing>
        <w:t>GH RESEARCH PLC</w:t>
      </w:r>
    </w:p>
    <w:p>
      <w:pPr>
        <w:spacing w:after="0" w:line="4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NOTES TO THE UNAUDITED CONDENSED CONSOLIDATED INTERIM FINANCIAL STATEMENTS</w:t>
      </w:r>
    </w:p>
    <w:p>
      <w:pPr>
        <w:spacing w:after="0" w:line="150" w:lineRule="exact"/>
        <w:rPr>
          <w:sz w:val="20"/>
          <w:szCs w:val="20"/>
          <w:color w:val="auto"/>
        </w:rPr>
      </w:pPr>
    </w:p>
    <w:p>
      <w:pPr>
        <w:ind w:left="208" w:hanging="208"/>
        <w:spacing w:after="0"/>
        <w:tabs>
          <w:tab w:leader="none" w:pos="208" w:val="left"/>
        </w:tabs>
        <w:numPr>
          <w:ilvl w:val="0"/>
          <w:numId w:val="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Corporate information</w:t>
      </w:r>
    </w:p>
    <w:p>
      <w:pPr>
        <w:spacing w:after="0" w:line="154" w:lineRule="exact"/>
        <w:rPr>
          <w:sz w:val="20"/>
          <w:szCs w:val="20"/>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GH Research PLC (the “Company”) was incorporated on March 29, 2021. The registered office of the Company is located at Joshua Dawson House, Dawson Street, Dublin 2, Ireland. The Company and its subsidiary, GH Research Ireland Limited, form the GH Research Group (the “Group” or “GH Research”).</w:t>
      </w:r>
    </w:p>
    <w:p>
      <w:pPr>
        <w:spacing w:after="0" w:line="111"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The Company is a clinical-stage biopharmaceutical company dedicated to transforming the lives of patients by developing a practice-changing treatment in depression. Its initial focus is on developing the novel and proprietary mebufotenin therapies for the treatment of patients with Treatment Resistant Depression, or TRD. Its portfolio currently includes GH001, a proprietary inhalable mebufotenin product candidate, and GH002, a proprietary intravenous mebufotenin product candidate.</w:t>
      </w:r>
    </w:p>
    <w:p>
      <w:pPr>
        <w:spacing w:after="0" w:line="1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These unaudited condensed consolidated interim financial statements were presented to the board of directors and approved by them for issue on May 14, 2026.</w:t>
      </w:r>
    </w:p>
    <w:p>
      <w:pPr>
        <w:spacing w:after="0" w:line="146" w:lineRule="exact"/>
        <w:rPr>
          <w:sz w:val="20"/>
          <w:szCs w:val="20"/>
          <w:color w:val="auto"/>
        </w:rPr>
      </w:pPr>
    </w:p>
    <w:p>
      <w:pPr>
        <w:ind w:left="8" w:right="7640" w:hanging="8"/>
        <w:spacing w:after="0" w:line="500" w:lineRule="auto"/>
        <w:tabs>
          <w:tab w:leader="none" w:pos="224"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Basis of preparation, significant judgments, and accounting policies Basis of preparation</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Compliance with IFRS Accounting Standards</w:t>
      </w:r>
    </w:p>
    <w:p>
      <w:pPr>
        <w:spacing w:after="0" w:line="21" w:lineRule="exact"/>
        <w:rPr>
          <w:sz w:val="20"/>
          <w:szCs w:val="20"/>
          <w:color w:val="auto"/>
        </w:rPr>
      </w:pPr>
    </w:p>
    <w:p>
      <w:pPr>
        <w:jc w:val="both"/>
        <w:ind w:left="8"/>
        <w:spacing w:after="0" w:line="253" w:lineRule="auto"/>
        <w:rPr>
          <w:sz w:val="20"/>
          <w:szCs w:val="20"/>
          <w:color w:val="auto"/>
        </w:rPr>
      </w:pPr>
      <w:r>
        <w:rPr>
          <w:rFonts w:ascii="Times New Roman" w:cs="Times New Roman" w:eastAsia="Times New Roman" w:hAnsi="Times New Roman"/>
          <w:sz w:val="12"/>
          <w:szCs w:val="12"/>
          <w:color w:val="auto"/>
        </w:rPr>
        <w:t>The unaudited condensed consolidated interim financial statements for the three months ended March 31, 2026, have been prepared in accordance with IAS 34 “Interim Financial Reporting”. The unaudited condensed consolidated interim financial statements do not include all of the information required for full annual financial statements and should be read in conjunction with the consolidated financial statements for the year ended December 31, 2025, which were prepared in accordance with IFRS Accounting Standards as adopted by the International Accounting Standards Board (“IASB”). These unaudited condensed consolidated interim financial statements are presented in U.S. dollar (“USD” or “$”), which is the Company’s functional currency and the Group’s presentation currency.</w:t>
      </w:r>
    </w:p>
    <w:p>
      <w:pPr>
        <w:spacing w:after="0" w:line="127"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The financial information presented in this interim report does not represent full statutory accounts as defined by the Companies Act 2014. The statutory accounts of the Company for the year ended December 31, 2025, are expected to be filed with the Companies Registration Office by November 26, 2026.</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New and amended IFRS standards</w:t>
      </w:r>
    </w:p>
    <w:p>
      <w:pPr>
        <w:spacing w:after="0" w:line="21" w:lineRule="exact"/>
        <w:rPr>
          <w:sz w:val="20"/>
          <w:szCs w:val="20"/>
          <w:color w:val="auto"/>
        </w:rPr>
      </w:pPr>
    </w:p>
    <w:p>
      <w:pPr>
        <w:jc w:val="both"/>
        <w:ind w:left="8"/>
        <w:spacing w:after="0" w:line="253" w:lineRule="auto"/>
        <w:rPr>
          <w:sz w:val="20"/>
          <w:szCs w:val="20"/>
          <w:color w:val="auto"/>
        </w:rPr>
      </w:pPr>
      <w:r>
        <w:rPr>
          <w:rFonts w:ascii="Times New Roman" w:cs="Times New Roman" w:eastAsia="Times New Roman" w:hAnsi="Times New Roman"/>
          <w:sz w:val="12"/>
          <w:szCs w:val="12"/>
          <w:color w:val="auto"/>
        </w:rPr>
        <w:t>There are no new IFRS Accounting standards, amendments to standards or interpretations that are mandatory for the financial year beginning on January 1, 2026, that are relevant to the Group and that have had any material impact in the interim period. The review of the impact of new standards on the Group’s financial statements, which are not yet effective and which have not been early adopted by the Group is ongoing. This includes IFRS 18 “Presentation and Disclosure in Financial Statements”. IFRS 18 will replace IAS 1 “Presentation of financial statements”, introducing new requirements that will help to achieve comparability of the financial performance of similar entities and provide more relevant information and transparency to users. Management is currently assessing the detailed implications of applying the new standard on the Group’s financial statements.</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Going concern basis</w:t>
      </w:r>
    </w:p>
    <w:p>
      <w:pPr>
        <w:spacing w:after="0" w:line="21"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GH Research is a clinical-stage biopharmaceutical company developing innovative therapeutics. The Group is exposed to all risks inherent in establishing and developing its business, including the substantial uncertainty that current projects will succeed. Research and development expenses have been incurred from the start of the Group’s activities, generating negative cash flows from operating activities since formation.</w:t>
      </w:r>
    </w:p>
    <w:p>
      <w:pPr>
        <w:spacing w:after="0" w:line="122"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Since its incorporation, the Group has funded its growth through capital increases. The Group has no bank loans or other debt outstanding, except lease liabilities, as of March 31, 2026. As a result, the Group is not exposed to liquidity risk through requests for early repayment of loans.</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As of March 31, 2026, the Group’s cash and cash equivalents amounted to $242.7 million (December 31, 2025: $246.3 million). The Group also held marketable securities of $24.7 million as of March 31, 2026 (December 31, 2025:</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marketable securities of $34.5 million). The marketable securities held by the Group are quoted in active markets and are an additional source of liquidity.</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78040"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458"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6677660</wp:posOffset>
            </wp:positionH>
            <wp:positionV relativeFrom="page">
              <wp:posOffset>88900</wp:posOffset>
            </wp:positionV>
            <wp:extent cx="685800" cy="2114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85800" cy="211455"/>
                    </a:xfrm>
                    <a:prstGeom prst="rect">
                      <a:avLst/>
                    </a:prstGeom>
                    <a:noFill/>
                  </pic:spPr>
                </pic:pic>
              </a:graphicData>
            </a:graphic>
          </wp:anchor>
        </w:drawing>
        <w:t>GH RESEARCH PLC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NOTES TO THE UNAUDITED CONDENSED CONSOLIDATED INTERIM FINANCIAL STATEMENTS (continued)</w:t>
      </w:r>
    </w:p>
    <w:p>
      <w:pPr>
        <w:spacing w:after="0" w:line="27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Board of Directors believes that the Group has sufficient financial resources available to cover its planned cash outflows for at least the next twelve months from the date of issuance of these unaudited condensed consolidated interim financial statements. The Group, therefore, continues to adopt the going concern basis in preparing its unaudited condensed consolidated interim financial statements.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Use of estimates and judgments</w:t>
      </w:r>
    </w:p>
    <w:p>
      <w:pPr>
        <w:spacing w:after="0" w:line="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preparation of the unaudited condensed consolidated interim financial statements requires management to make judgments, estimates and assumptions that affect the application of accounting policies and the reported amounts of assets and liabilities, income and expense. Actual results may differ from these estimates.</w:t>
      </w:r>
    </w:p>
    <w:p>
      <w:pPr>
        <w:spacing w:after="0" w:line="1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 preparing these unaudited condensed consolidated interim financial statements, the significant judgments made by management in applying the Group’s accounting policies and the key sources of estimation uncertainty are consistent with those that applied in the preparation of the consolidated financial statements for the year ended December 31, 2025.</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Accounting policies</w:t>
      </w:r>
    </w:p>
    <w:p>
      <w:pPr>
        <w:spacing w:after="0" w:line="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accounting policies, presentation and methods of computation followed in the unaudited condensed consolidated interim financial statements are consistent with those applied in the Group’s most recent annual financial statements and have been applied consistently to all periods presented in the unaudited condensed consolidated interim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Current and deferred income tax</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The interim income tax expense is calculated based on the Company’s estimate of the weighted average effective annual income tax rate expected for the full year. The current and deferred income tax charge was $nil for the three months ended March 31, 2026 and 2025, which is in line with the Company’s estimate for the full year. No deferred tax assets have been recognized as there is no certainty that sufficient taxable profits will be generated within the required timeframe to be able to utilize these tax loss carry-forwards in full.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Segment reporting</w:t>
      </w:r>
    </w:p>
    <w:p>
      <w:pPr>
        <w:spacing w:after="0" w:line="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Management considers the Group to have only a single segment: Research and Development (“R&amp;D”). This is consistent with the way that information is reported internally within the Group for the purpose of allocating resources and assessing performance.</w:t>
      </w:r>
    </w:p>
    <w:p>
      <w:pPr>
        <w:spacing w:after="0" w:line="2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wp:posOffset>
            </wp:positionV>
            <wp:extent cx="7178040"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58" w:right="2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6677660</wp:posOffset>
            </wp:positionH>
            <wp:positionV relativeFrom="page">
              <wp:posOffset>88900</wp:posOffset>
            </wp:positionV>
            <wp:extent cx="685800" cy="2114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85800" cy="211455"/>
                    </a:xfrm>
                    <a:prstGeom prst="rect">
                      <a:avLst/>
                    </a:prstGeom>
                    <a:noFill/>
                  </pic:spPr>
                </pic:pic>
              </a:graphicData>
            </a:graphic>
          </wp:anchor>
        </w:drawing>
        <w:t>GH RESEARCH PLC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NOTES TO THE UNAUDITED CONDENSED CONSOLIDATED INTERIM FINANCIAL STATEMENTS (continued)</w:t>
      </w:r>
    </w:p>
    <w:p>
      <w:pPr>
        <w:spacing w:after="0" w:line="123" w:lineRule="exact"/>
        <w:rPr>
          <w:sz w:val="20"/>
          <w:szCs w:val="20"/>
          <w:color w:val="auto"/>
        </w:rPr>
      </w:pPr>
    </w:p>
    <w:tbl>
      <w:tblPr>
        <w:tblLayout w:type="fixed"/>
        <w:tblInd w:w="60" w:type="dxa"/>
        <w:tblCellMar>
          <w:top w:w="0" w:type="dxa"/>
          <w:left w:w="0" w:type="dxa"/>
          <w:bottom w:w="0" w:type="dxa"/>
          <w:right w:w="0" w:type="dxa"/>
        </w:tblCellMar>
      </w:tblPr>
      <w:tr>
        <w:trPr>
          <w:trHeight w:val="159"/>
        </w:trPr>
        <w:tc>
          <w:tcPr>
            <w:tcW w:w="8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3.  Expenses by nature</w:t>
            </w: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88"/>
        </w:trPr>
        <w:tc>
          <w:tcPr>
            <w:tcW w:w="8600" w:type="dxa"/>
            <w:vAlign w:val="bottom"/>
          </w:tcPr>
          <w:p>
            <w:pPr>
              <w:spacing w:after="0"/>
              <w:rPr>
                <w:sz w:val="20"/>
                <w:szCs w:val="20"/>
                <w:color w:val="auto"/>
              </w:rPr>
            </w:pPr>
            <w:r>
              <w:rPr>
                <w:rFonts w:ascii="Times New Roman" w:cs="Times New Roman" w:eastAsia="Times New Roman" w:hAnsi="Times New Roman"/>
                <w:sz w:val="12"/>
                <w:szCs w:val="12"/>
                <w:color w:val="auto"/>
              </w:rPr>
              <w:t>The following table provides the consolidated statement of comprehensive loss classification of our expense by nature:</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3"/>
        </w:trPr>
        <w:tc>
          <w:tcPr>
            <w:tcW w:w="8600" w:type="dxa"/>
            <w:vAlign w:val="bottom"/>
          </w:tcPr>
          <w:p>
            <w:pPr>
              <w:spacing w:after="0"/>
              <w:rPr>
                <w:sz w:val="23"/>
                <w:szCs w:val="23"/>
                <w:color w:val="auto"/>
              </w:rPr>
            </w:pPr>
          </w:p>
        </w:tc>
        <w:tc>
          <w:tcPr>
            <w:tcW w:w="1760" w:type="dxa"/>
            <w:vAlign w:val="bottom"/>
            <w:gridSpan w:val="3"/>
          </w:tcPr>
          <w:p>
            <w:pPr>
              <w:jc w:val="center"/>
              <w:ind w:left="64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9"/>
        </w:trPr>
        <w:tc>
          <w:tcPr>
            <w:tcW w:w="8600" w:type="dxa"/>
            <w:vAlign w:val="bottom"/>
          </w:tcPr>
          <w:p>
            <w:pPr>
              <w:spacing w:after="0"/>
              <w:rPr>
                <w:sz w:val="13"/>
                <w:szCs w:val="13"/>
                <w:color w:val="auto"/>
              </w:rPr>
            </w:pPr>
          </w:p>
        </w:tc>
        <w:tc>
          <w:tcPr>
            <w:tcW w:w="1760" w:type="dxa"/>
            <w:vAlign w:val="bottom"/>
            <w:tcBorders>
              <w:bottom w:val="single" w:sz="8" w:color="auto"/>
            </w:tcBorders>
            <w:gridSpan w:val="3"/>
          </w:tcPr>
          <w:p>
            <w:pPr>
              <w:jc w:val="center"/>
              <w:ind w:left="640"/>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7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7"/>
        </w:trPr>
        <w:tc>
          <w:tcPr>
            <w:tcW w:w="8600" w:type="dxa"/>
            <w:vAlign w:val="bottom"/>
          </w:tcPr>
          <w:p>
            <w:pPr>
              <w:spacing w:after="0"/>
              <w:rPr>
                <w:sz w:val="11"/>
                <w:szCs w:val="11"/>
                <w:color w:val="auto"/>
              </w:rPr>
            </w:pPr>
          </w:p>
        </w:tc>
        <w:tc>
          <w:tcPr>
            <w:tcW w:w="1140" w:type="dxa"/>
            <w:vAlign w:val="bottom"/>
          </w:tcPr>
          <w:p>
            <w:pPr>
              <w:jc w:val="right"/>
              <w:ind w:right="380"/>
              <w:spacing w:after="0" w:line="128" w:lineRule="exact"/>
              <w:rPr>
                <w:sz w:val="20"/>
                <w:szCs w:val="20"/>
                <w:color w:val="auto"/>
              </w:rPr>
            </w:pPr>
            <w:r>
              <w:rPr>
                <w:rFonts w:ascii="Times New Roman" w:cs="Times New Roman" w:eastAsia="Times New Roman" w:hAnsi="Times New Roman"/>
                <w:sz w:val="12"/>
                <w:szCs w:val="12"/>
                <w:b w:val="1"/>
                <w:bCs w:val="1"/>
                <w:color w:val="auto"/>
              </w:rPr>
              <w:t>2026</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jc w:val="right"/>
              <w:ind w:right="380"/>
              <w:spacing w:after="0" w:line="128" w:lineRule="exact"/>
              <w:rPr>
                <w:sz w:val="20"/>
                <w:szCs w:val="20"/>
                <w:color w:val="auto"/>
              </w:rPr>
            </w:pPr>
            <w:r>
              <w:rPr>
                <w:rFonts w:ascii="Times New Roman" w:cs="Times New Roman" w:eastAsia="Times New Roman" w:hAnsi="Times New Roman"/>
                <w:sz w:val="12"/>
                <w:szCs w:val="12"/>
                <w:b w:val="1"/>
                <w:bCs w:val="1"/>
                <w:color w:val="auto"/>
                <w:w w:val="99"/>
              </w:rPr>
              <w:t>2025</w:t>
            </w:r>
          </w:p>
        </w:tc>
        <w:tc>
          <w:tcPr>
            <w:tcW w:w="100" w:type="dxa"/>
            <w:vAlign w:val="bottom"/>
          </w:tcPr>
          <w:p>
            <w:pPr>
              <w:spacing w:after="0"/>
              <w:rPr>
                <w:sz w:val="11"/>
                <w:szCs w:val="11"/>
                <w:color w:val="auto"/>
              </w:rPr>
            </w:pPr>
          </w:p>
        </w:tc>
      </w:tr>
      <w:tr>
        <w:trPr>
          <w:trHeight w:val="159"/>
        </w:trPr>
        <w:tc>
          <w:tcPr>
            <w:tcW w:w="8600" w:type="dxa"/>
            <w:vAlign w:val="bottom"/>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$’000</w:t>
            </w:r>
          </w:p>
        </w:tc>
        <w:tc>
          <w:tcPr>
            <w:tcW w:w="2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9"/>
              </w:rPr>
              <w:t>$’000</w:t>
            </w:r>
          </w:p>
        </w:tc>
        <w:tc>
          <w:tcPr>
            <w:tcW w:w="100" w:type="dxa"/>
            <w:vAlign w:val="bottom"/>
          </w:tcPr>
          <w:p>
            <w:pPr>
              <w:spacing w:after="0"/>
              <w:rPr>
                <w:sz w:val="13"/>
                <w:szCs w:val="13"/>
                <w:color w:val="auto"/>
              </w:rPr>
            </w:pPr>
          </w:p>
        </w:tc>
      </w:tr>
      <w:tr>
        <w:trPr>
          <w:trHeight w:val="169"/>
        </w:trPr>
        <w:tc>
          <w:tcPr>
            <w:tcW w:w="860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2"/>
                <w:szCs w:val="12"/>
                <w:color w:val="auto"/>
              </w:rPr>
              <w:t>External research and development expenses</w:t>
            </w:r>
            <w:r>
              <w:rPr>
                <w:rFonts w:ascii="Times New Roman" w:cs="Times New Roman" w:eastAsia="Times New Roman" w:hAnsi="Times New Roman"/>
                <w:sz w:val="19"/>
                <w:szCs w:val="19"/>
                <w:color w:val="auto"/>
                <w:vertAlign w:val="superscript"/>
              </w:rPr>
              <w:t>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8,545</w:t>
            </w: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5,467</w:t>
            </w:r>
          </w:p>
        </w:tc>
      </w:tr>
      <w:tr>
        <w:trPr>
          <w:trHeight w:val="144"/>
        </w:trPr>
        <w:tc>
          <w:tcPr>
            <w:tcW w:w="8600" w:type="dxa"/>
            <w:vAlign w:val="bottom"/>
          </w:tcPr>
          <w:p>
            <w:pPr>
              <w:spacing w:after="0" w:line="144" w:lineRule="exact"/>
              <w:rPr>
                <w:sz w:val="20"/>
                <w:szCs w:val="20"/>
                <w:color w:val="auto"/>
              </w:rPr>
            </w:pPr>
            <w:r>
              <w:rPr>
                <w:rFonts w:ascii="Times New Roman" w:cs="Times New Roman" w:eastAsia="Times New Roman" w:hAnsi="Times New Roman"/>
                <w:sz w:val="10"/>
                <w:szCs w:val="10"/>
                <w:color w:val="auto"/>
              </w:rPr>
              <w:t>Employee expenses</w:t>
            </w:r>
            <w:r>
              <w:rPr>
                <w:rFonts w:ascii="Times New Roman" w:cs="Times New Roman" w:eastAsia="Times New Roman" w:hAnsi="Times New Roman"/>
                <w:sz w:val="16"/>
                <w:szCs w:val="16"/>
                <w:color w:val="auto"/>
                <w:vertAlign w:val="superscript"/>
              </w:rPr>
              <w:t>2, 5</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3,834</w:t>
            </w:r>
          </w:p>
        </w:tc>
        <w:tc>
          <w:tcPr>
            <w:tcW w:w="2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2,385</w:t>
            </w:r>
          </w:p>
        </w:tc>
        <w:tc>
          <w:tcPr>
            <w:tcW w:w="100" w:type="dxa"/>
            <w:vAlign w:val="bottom"/>
          </w:tcPr>
          <w:p>
            <w:pPr>
              <w:spacing w:after="0"/>
              <w:rPr>
                <w:sz w:val="12"/>
                <w:szCs w:val="12"/>
                <w:color w:val="auto"/>
              </w:rPr>
            </w:pPr>
          </w:p>
        </w:tc>
      </w:tr>
      <w:tr>
        <w:trPr>
          <w:trHeight w:val="169"/>
        </w:trPr>
        <w:tc>
          <w:tcPr>
            <w:tcW w:w="8600" w:type="dxa"/>
            <w:vAlign w:val="bottom"/>
            <w:tcBorders>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2"/>
                <w:szCs w:val="12"/>
                <w:b w:val="1"/>
                <w:bCs w:val="1"/>
                <w:color w:val="auto"/>
              </w:rPr>
              <w:t>Total research and development expenses</w:t>
            </w:r>
            <w:r>
              <w:rPr>
                <w:rFonts w:ascii="Times New Roman" w:cs="Times New Roman" w:eastAsia="Times New Roman" w:hAnsi="Times New Roman"/>
                <w:sz w:val="19"/>
                <w:szCs w:val="19"/>
                <w:b w:val="1"/>
                <w:bCs w:val="1"/>
                <w:color w:val="auto"/>
                <w:vertAlign w:val="superscript"/>
              </w:rPr>
              <w:t>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12,379</w:t>
            </w:r>
          </w:p>
        </w:tc>
        <w:tc>
          <w:tcPr>
            <w:tcW w:w="2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7,852</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42"/>
        </w:trPr>
        <w:tc>
          <w:tcPr>
            <w:tcW w:w="8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gridSpan w:val="2"/>
          </w:tcPr>
          <w:p>
            <w:pPr>
              <w:spacing w:after="0"/>
              <w:rPr>
                <w:sz w:val="12"/>
                <w:szCs w:val="12"/>
                <w:color w:val="auto"/>
              </w:rPr>
            </w:pPr>
          </w:p>
        </w:tc>
      </w:tr>
      <w:tr>
        <w:trPr>
          <w:trHeight w:val="171"/>
        </w:trPr>
        <w:tc>
          <w:tcPr>
            <w:tcW w:w="860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2"/>
                <w:szCs w:val="12"/>
                <w:color w:val="auto"/>
              </w:rPr>
              <w:t>External costs</w:t>
            </w:r>
            <w:r>
              <w:rPr>
                <w:rFonts w:ascii="Times New Roman" w:cs="Times New Roman" w:eastAsia="Times New Roman" w:hAnsi="Times New Roman"/>
                <w:sz w:val="19"/>
                <w:szCs w:val="19"/>
                <w:color w:val="auto"/>
                <w:vertAlign w:val="superscript"/>
              </w:rPr>
              <w:t>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4,264</w:t>
            </w: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2,939</w:t>
            </w:r>
          </w:p>
        </w:tc>
      </w:tr>
      <w:tr>
        <w:trPr>
          <w:trHeight w:val="144"/>
        </w:trPr>
        <w:tc>
          <w:tcPr>
            <w:tcW w:w="8600" w:type="dxa"/>
            <w:vAlign w:val="bottom"/>
          </w:tcPr>
          <w:p>
            <w:pPr>
              <w:spacing w:after="0" w:line="144" w:lineRule="exact"/>
              <w:rPr>
                <w:sz w:val="20"/>
                <w:szCs w:val="20"/>
                <w:color w:val="auto"/>
              </w:rPr>
            </w:pPr>
            <w:r>
              <w:rPr>
                <w:rFonts w:ascii="Times New Roman" w:cs="Times New Roman" w:eastAsia="Times New Roman" w:hAnsi="Times New Roman"/>
                <w:sz w:val="10"/>
                <w:szCs w:val="10"/>
                <w:color w:val="auto"/>
              </w:rPr>
              <w:t>Employee expenses</w:t>
            </w:r>
            <w:r>
              <w:rPr>
                <w:rFonts w:ascii="Times New Roman" w:cs="Times New Roman" w:eastAsia="Times New Roman" w:hAnsi="Times New Roman"/>
                <w:sz w:val="16"/>
                <w:szCs w:val="16"/>
                <w:color w:val="auto"/>
                <w:vertAlign w:val="superscript"/>
              </w:rPr>
              <w:t>4, 5</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2,106</w:t>
            </w:r>
          </w:p>
        </w:tc>
        <w:tc>
          <w:tcPr>
            <w:tcW w:w="2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1,941</w:t>
            </w:r>
          </w:p>
        </w:tc>
        <w:tc>
          <w:tcPr>
            <w:tcW w:w="100" w:type="dxa"/>
            <w:vAlign w:val="bottom"/>
          </w:tcPr>
          <w:p>
            <w:pPr>
              <w:spacing w:after="0"/>
              <w:rPr>
                <w:sz w:val="12"/>
                <w:szCs w:val="12"/>
                <w:color w:val="auto"/>
              </w:rPr>
            </w:pPr>
          </w:p>
        </w:tc>
      </w:tr>
      <w:tr>
        <w:trPr>
          <w:trHeight w:val="169"/>
        </w:trPr>
        <w:tc>
          <w:tcPr>
            <w:tcW w:w="8600" w:type="dxa"/>
            <w:vAlign w:val="bottom"/>
            <w:tcBorders>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2"/>
                <w:szCs w:val="12"/>
                <w:b w:val="1"/>
                <w:bCs w:val="1"/>
                <w:color w:val="auto"/>
              </w:rPr>
              <w:t>Total general and administrative expenses</w:t>
            </w:r>
            <w:r>
              <w:rPr>
                <w:rFonts w:ascii="Times New Roman" w:cs="Times New Roman" w:eastAsia="Times New Roman" w:hAnsi="Times New Roman"/>
                <w:sz w:val="19"/>
                <w:szCs w:val="19"/>
                <w:b w:val="1"/>
                <w:bCs w:val="1"/>
                <w:color w:val="auto"/>
                <w:vertAlign w:val="superscript"/>
              </w:rPr>
              <w:t>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6,370</w:t>
            </w:r>
          </w:p>
        </w:tc>
        <w:tc>
          <w:tcPr>
            <w:tcW w:w="2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4,880</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42"/>
        </w:trPr>
        <w:tc>
          <w:tcPr>
            <w:tcW w:w="8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operating expenses</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18,749</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12,732</w:t>
            </w:r>
          </w:p>
        </w:tc>
      </w:tr>
      <w:tr>
        <w:trPr>
          <w:trHeight w:val="20"/>
        </w:trPr>
        <w:tc>
          <w:tcPr>
            <w:tcW w:w="86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0"/>
          <w:szCs w:val="10"/>
          <w:color w:val="auto"/>
        </w:rPr>
        <w:t xml:space="preserve"> Includes depreciation expense.</w:t>
      </w:r>
    </w:p>
    <w:p>
      <w:pPr>
        <w:spacing w:after="0" w:line="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0"/>
          <w:szCs w:val="10"/>
          <w:color w:val="auto"/>
        </w:rPr>
        <w:t>Included in employee expenses is share-based compensation expense of $0.9 million and $0.7 million for the three months ended March 31, 2026 and 2025, respectively, relating to employees in the research and development department.</w:t>
      </w:r>
    </w:p>
    <w:p>
      <w:pPr>
        <w:spacing w:after="0" w:line="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vertAlign w:val="superscript"/>
        </w:rPr>
        <w:t>3</w:t>
      </w:r>
      <w:r>
        <w:rPr>
          <w:rFonts w:ascii="Times New Roman" w:cs="Times New Roman" w:eastAsia="Times New Roman" w:hAnsi="Times New Roman"/>
          <w:sz w:val="10"/>
          <w:szCs w:val="10"/>
          <w:color w:val="auto"/>
        </w:rPr>
        <w:t xml:space="preserve"> Depreciation and other expenses have been reclassified to external research and development expenses and depreciation has been reclassified to external costs for all periods presented as it provides more relevant information.</w:t>
      </w:r>
    </w:p>
    <w:p>
      <w:pPr>
        <w:spacing w:after="0" w:line="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vertAlign w:val="superscript"/>
        </w:rPr>
        <w:t>4</w:t>
      </w:r>
      <w:r>
        <w:rPr>
          <w:rFonts w:ascii="Times New Roman" w:cs="Times New Roman" w:eastAsia="Times New Roman" w:hAnsi="Times New Roman"/>
          <w:sz w:val="10"/>
          <w:szCs w:val="10"/>
          <w:color w:val="auto"/>
        </w:rPr>
        <w:t>Included in employee expenses is share-based compensation expense of $0.9 million and $0.9 million for the three months ended March 31, 2026 and 2025, respectively, relating to employees in the general and administrative department.</w:t>
      </w:r>
    </w:p>
    <w:p>
      <w:pPr>
        <w:spacing w:after="0" w:line="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vertAlign w:val="superscript"/>
        </w:rPr>
        <w:t>5</w:t>
      </w:r>
      <w:r>
        <w:rPr>
          <w:rFonts w:ascii="Times New Roman" w:cs="Times New Roman" w:eastAsia="Times New Roman" w:hAnsi="Times New Roman"/>
          <w:sz w:val="10"/>
          <w:szCs w:val="10"/>
          <w:color w:val="auto"/>
        </w:rPr>
        <w:t>Includes termination expenses incurred.</w:t>
      </w:r>
    </w:p>
    <w:p>
      <w:pPr>
        <w:spacing w:after="0" w:line="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b w:val="1"/>
          <w:bCs w:val="1"/>
          <w:color w:val="auto"/>
        </w:rPr>
        <w:t>Foreign exchange loss</w:t>
      </w:r>
    </w:p>
    <w:p>
      <w:pPr>
        <w:spacing w:after="0" w:line="154" w:lineRule="exact"/>
        <w:rPr>
          <w:sz w:val="20"/>
          <w:szCs w:val="20"/>
          <w:color w:val="auto"/>
        </w:rPr>
      </w:pPr>
    </w:p>
    <w:p>
      <w:pPr>
        <w:jc w:val="both"/>
        <w:ind w:left="60"/>
        <w:spacing w:after="0" w:line="279" w:lineRule="auto"/>
        <w:rPr>
          <w:sz w:val="20"/>
          <w:szCs w:val="20"/>
          <w:color w:val="auto"/>
        </w:rPr>
      </w:pPr>
      <w:r>
        <w:rPr>
          <w:rFonts w:ascii="Times New Roman" w:cs="Times New Roman" w:eastAsia="Times New Roman" w:hAnsi="Times New Roman"/>
          <w:sz w:val="12"/>
          <w:szCs w:val="12"/>
          <w:color w:val="auto"/>
        </w:rPr>
        <w:t>Foreign exchange loss of $2.3 million for the three months ended March 31, 2026 (foreign exchange loss of $0.6 million for the three months ended March 31, 2025), consists primarily of gains and losses related to the translation of the Group’s assets and liabilities from their denominated currencies into the functional currency of each entity, and included the strengthening of the U.S. dollar in the period.</w:t>
      </w: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36195</wp:posOffset>
            </wp:positionV>
            <wp:extent cx="7086600" cy="11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6600" cy="11430"/>
                    </a:xfrm>
                    <a:prstGeom prst="rect">
                      <a:avLst/>
                    </a:prstGeom>
                    <a:noFill/>
                  </pic:spPr>
                </pic:pic>
              </a:graphicData>
            </a:graphic>
          </wp:anchor>
        </w:drawing>
      </w:r>
    </w:p>
    <w:p>
      <w:pPr>
        <w:sectPr>
          <w:pgSz w:w="11900" w:h="16838" w:orient="portrait"/>
          <w:cols w:equalWidth="0" w:num="1">
            <w:col w:w="11220"/>
          </w:cols>
          <w:pgMar w:left="300" w:top="458" w:right="379" w:bottom="1440" w:gutter="0" w:footer="0" w:header="0"/>
        </w:sectPr>
      </w:pPr>
    </w:p>
    <w:bookmarkStart w:id="12" w:name="page13"/>
    <w:bookmarkEnd w:id="12"/>
    <w:p>
      <w:pPr>
        <w:ind w:left="68"/>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6631940</wp:posOffset>
            </wp:positionH>
            <wp:positionV relativeFrom="page">
              <wp:posOffset>88900</wp:posOffset>
            </wp:positionV>
            <wp:extent cx="685800" cy="2114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85800" cy="211455"/>
                    </a:xfrm>
                    <a:prstGeom prst="rect">
                      <a:avLst/>
                    </a:prstGeom>
                    <a:noFill/>
                  </pic:spPr>
                </pic:pic>
              </a:graphicData>
            </a:graphic>
          </wp:anchor>
        </w:drawing>
        <w:t>GH RESEARCH PLC</w:t>
      </w:r>
    </w:p>
    <w:p>
      <w:pPr>
        <w:spacing w:after="0" w:line="42" w:lineRule="exact"/>
        <w:rPr>
          <w:sz w:val="20"/>
          <w:szCs w:val="20"/>
          <w:color w:val="auto"/>
        </w:rPr>
      </w:pPr>
    </w:p>
    <w:p>
      <w:pPr>
        <w:ind w:left="68"/>
        <w:spacing w:after="0"/>
        <w:rPr>
          <w:sz w:val="20"/>
          <w:szCs w:val="20"/>
          <w:color w:val="auto"/>
        </w:rPr>
      </w:pPr>
      <w:r>
        <w:rPr>
          <w:rFonts w:ascii="Times New Roman" w:cs="Times New Roman" w:eastAsia="Times New Roman" w:hAnsi="Times New Roman"/>
          <w:sz w:val="12"/>
          <w:szCs w:val="12"/>
          <w:b w:val="1"/>
          <w:bCs w:val="1"/>
          <w:color w:val="auto"/>
        </w:rPr>
        <w:t>NOTES TO THE UNAUDITED CONDENSED CONSOLIDATED INTERIM FINANCIAL STATEMENTS (continued)</w:t>
      </w:r>
    </w:p>
    <w:p>
      <w:pPr>
        <w:spacing w:after="0" w:line="123" w:lineRule="exact"/>
        <w:rPr>
          <w:sz w:val="20"/>
          <w:szCs w:val="20"/>
          <w:color w:val="auto"/>
        </w:rPr>
      </w:pPr>
    </w:p>
    <w:p>
      <w:pPr>
        <w:ind w:left="208" w:hanging="208"/>
        <w:spacing w:after="0"/>
        <w:tabs>
          <w:tab w:leader="none" w:pos="208" w:val="left"/>
        </w:tabs>
        <w:numPr>
          <w:ilvl w:val="0"/>
          <w:numId w:val="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Finance income and expense</w:t>
      </w:r>
    </w:p>
    <w:p>
      <w:pPr>
        <w:spacing w:after="0" w:line="150"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2"/>
          <w:szCs w:val="12"/>
          <w:b w:val="1"/>
          <w:bCs w:val="1"/>
          <w:color w:val="auto"/>
        </w:rPr>
        <w:t>Three months ended</w:t>
      </w:r>
    </w:p>
    <w:p>
      <w:pPr>
        <w:spacing w:after="0" w:line="21"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2"/>
          <w:szCs w:val="12"/>
          <w:b w:val="1"/>
          <w:bCs w:val="1"/>
          <w:color w:val="auto"/>
        </w:rPr>
        <w:t>March 31,</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820" w:type="dxa"/>
            <w:vAlign w:val="bottom"/>
          </w:tcPr>
          <w:p>
            <w:pPr>
              <w:spacing w:after="0"/>
              <w:rPr>
                <w:sz w:val="11"/>
                <w:szCs w:val="11"/>
                <w:color w:val="auto"/>
              </w:rPr>
            </w:pPr>
          </w:p>
        </w:tc>
        <w:tc>
          <w:tcPr>
            <w:tcW w:w="7880" w:type="dxa"/>
            <w:vAlign w:val="bottom"/>
          </w:tcPr>
          <w:p>
            <w:pPr>
              <w:spacing w:after="0"/>
              <w:rPr>
                <w:sz w:val="11"/>
                <w:szCs w:val="11"/>
                <w:color w:val="auto"/>
              </w:rPr>
            </w:pPr>
          </w:p>
        </w:tc>
        <w:tc>
          <w:tcPr>
            <w:tcW w:w="1160" w:type="dxa"/>
            <w:vAlign w:val="bottom"/>
            <w:tcBorders>
              <w:top w:val="single" w:sz="8" w:color="auto"/>
            </w:tcBorders>
          </w:tcPr>
          <w:p>
            <w:pPr>
              <w:jc w:val="right"/>
              <w:ind w:right="400"/>
              <w:spacing w:after="0" w:line="128" w:lineRule="exact"/>
              <w:rPr>
                <w:sz w:val="20"/>
                <w:szCs w:val="20"/>
                <w:color w:val="auto"/>
              </w:rPr>
            </w:pPr>
            <w:r>
              <w:rPr>
                <w:rFonts w:ascii="Times New Roman" w:cs="Times New Roman" w:eastAsia="Times New Roman" w:hAnsi="Times New Roman"/>
                <w:sz w:val="12"/>
                <w:szCs w:val="12"/>
                <w:b w:val="1"/>
                <w:bCs w:val="1"/>
                <w:color w:val="auto"/>
              </w:rPr>
              <w:t>2026</w:t>
            </w: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380"/>
              <w:spacing w:after="0" w:line="128" w:lineRule="exact"/>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820" w:type="dxa"/>
            <w:vAlign w:val="bottom"/>
          </w:tcPr>
          <w:p>
            <w:pPr>
              <w:spacing w:after="0"/>
              <w:rPr>
                <w:sz w:val="13"/>
                <w:szCs w:val="13"/>
                <w:color w:val="auto"/>
              </w:rPr>
            </w:pPr>
          </w:p>
        </w:tc>
        <w:tc>
          <w:tcPr>
            <w:tcW w:w="7880" w:type="dxa"/>
            <w:vAlign w:val="bottom"/>
          </w:tcPr>
          <w:p>
            <w:pPr>
              <w:spacing w:after="0"/>
              <w:rPr>
                <w:sz w:val="13"/>
                <w:szCs w:val="13"/>
                <w:color w:val="auto"/>
              </w:rPr>
            </w:pPr>
          </w:p>
        </w:tc>
        <w:tc>
          <w:tcPr>
            <w:tcW w:w="1360" w:type="dxa"/>
            <w:vAlign w:val="bottom"/>
            <w:gridSpan w:val="2"/>
          </w:tcPr>
          <w:p>
            <w:pPr>
              <w:ind w:left="440"/>
              <w:spacing w:after="0"/>
              <w:rPr>
                <w:sz w:val="20"/>
                <w:szCs w:val="20"/>
                <w:color w:val="auto"/>
              </w:rPr>
            </w:pPr>
            <w:r>
              <w:rPr>
                <w:rFonts w:ascii="Times New Roman" w:cs="Times New Roman" w:eastAsia="Times New Roman" w:hAnsi="Times New Roman"/>
                <w:sz w:val="12"/>
                <w:szCs w:val="12"/>
                <w:b w:val="1"/>
                <w:bCs w:val="1"/>
                <w:color w:val="auto"/>
              </w:rPr>
              <w:t>$’000</w:t>
            </w:r>
          </w:p>
        </w:tc>
        <w:tc>
          <w:tcPr>
            <w:tcW w:w="1240" w:type="dxa"/>
            <w:vAlign w:val="bottom"/>
            <w:gridSpan w:val="2"/>
          </w:tcPr>
          <w:p>
            <w:pPr>
              <w:ind w:left="420"/>
              <w:spacing w:after="0"/>
              <w:rPr>
                <w:sz w:val="20"/>
                <w:szCs w:val="20"/>
                <w:color w:val="auto"/>
              </w:rPr>
            </w:pPr>
            <w:r>
              <w:rPr>
                <w:rFonts w:ascii="Times New Roman" w:cs="Times New Roman" w:eastAsia="Times New Roman" w:hAnsi="Times New Roman"/>
                <w:sz w:val="12"/>
                <w:szCs w:val="12"/>
                <w:b w:val="1"/>
                <w:bCs w:val="1"/>
                <w:color w:val="auto"/>
              </w:rPr>
              <w:t>$’000</w:t>
            </w:r>
          </w:p>
        </w:tc>
        <w:tc>
          <w:tcPr>
            <w:tcW w:w="0" w:type="dxa"/>
            <w:vAlign w:val="bottom"/>
          </w:tcPr>
          <w:p>
            <w:pPr>
              <w:spacing w:after="0"/>
              <w:rPr>
                <w:sz w:val="1"/>
                <w:szCs w:val="1"/>
                <w:color w:val="auto"/>
              </w:rPr>
            </w:pPr>
          </w:p>
        </w:tc>
      </w:tr>
      <w:tr>
        <w:trPr>
          <w:trHeight w:val="122"/>
        </w:trPr>
        <w:tc>
          <w:tcPr>
            <w:tcW w:w="820" w:type="dxa"/>
            <w:vAlign w:val="bottom"/>
            <w:tcBorders>
              <w:bottom w:val="single" w:sz="8" w:color="auto"/>
              <w:right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2"/>
                <w:szCs w:val="12"/>
                <w:b w:val="1"/>
                <w:bCs w:val="1"/>
                <w:color w:val="auto"/>
                <w:w w:val="97"/>
              </w:rPr>
              <w:t>Finance income</w:t>
            </w:r>
          </w:p>
        </w:tc>
        <w:tc>
          <w:tcPr>
            <w:tcW w:w="7880" w:type="dxa"/>
            <w:vAlign w:val="bottom"/>
            <w:tcBorders>
              <w:bottom w:val="single" w:sz="8" w:color="CCEEFF"/>
            </w:tcBorders>
            <w:shd w:val="clear" w:color="auto" w:fill="CCEEFF"/>
          </w:tcPr>
          <w:p>
            <w:pPr>
              <w:spacing w:after="0"/>
              <w:rPr>
                <w:sz w:val="10"/>
                <w:szCs w:val="10"/>
                <w:color w:val="auto"/>
              </w:rPr>
            </w:pPr>
          </w:p>
        </w:tc>
        <w:tc>
          <w:tcPr>
            <w:tcW w:w="1160" w:type="dxa"/>
            <w:vAlign w:val="bottom"/>
            <w:tcBorders>
              <w:top w:val="single" w:sz="8" w:color="auto"/>
              <w:bottom w:val="single" w:sz="8" w:color="CCEEFF"/>
              <w:right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1120" w:type="dxa"/>
            <w:vAlign w:val="bottom"/>
            <w:tcBorders>
              <w:top w:val="single" w:sz="8" w:color="auto"/>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8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Finance income on cash, cash equivalents and other financial assets</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332</w:t>
            </w:r>
          </w:p>
        </w:tc>
        <w:tc>
          <w:tcPr>
            <w:tcW w:w="20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1,292</w:t>
            </w:r>
          </w:p>
        </w:tc>
        <w:tc>
          <w:tcPr>
            <w:tcW w:w="0" w:type="dxa"/>
            <w:vAlign w:val="bottom"/>
          </w:tcPr>
          <w:p>
            <w:pPr>
              <w:spacing w:after="0"/>
              <w:rPr>
                <w:sz w:val="1"/>
                <w:szCs w:val="1"/>
                <w:color w:val="auto"/>
              </w:rPr>
            </w:pPr>
          </w:p>
        </w:tc>
      </w:tr>
      <w:tr>
        <w:trPr>
          <w:trHeight w:val="14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Gain on cash equivalents and other financial assets at fair value through profit and loss (“FVTPL”)</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1,528</w:t>
            </w:r>
          </w:p>
        </w:tc>
        <w:tc>
          <w:tcPr>
            <w:tcW w:w="2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745</w:t>
            </w:r>
          </w:p>
        </w:tc>
        <w:tc>
          <w:tcPr>
            <w:tcW w:w="0" w:type="dxa"/>
            <w:vAlign w:val="bottom"/>
          </w:tcPr>
          <w:p>
            <w:pPr>
              <w:spacing w:after="0"/>
              <w:rPr>
                <w:sz w:val="1"/>
                <w:szCs w:val="1"/>
                <w:color w:val="auto"/>
              </w:rPr>
            </w:pPr>
          </w:p>
        </w:tc>
      </w:tr>
      <w:tr>
        <w:trPr>
          <w:trHeight w:val="144"/>
        </w:trPr>
        <w:tc>
          <w:tcPr>
            <w:tcW w:w="8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Interest income under effective interest rate method at fair value through other comprehensive income (“FVOCI”)</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334</w:t>
            </w:r>
          </w:p>
        </w:tc>
        <w:tc>
          <w:tcPr>
            <w:tcW w:w="20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722</w:t>
            </w:r>
          </w:p>
        </w:tc>
        <w:tc>
          <w:tcPr>
            <w:tcW w:w="0" w:type="dxa"/>
            <w:vAlign w:val="bottom"/>
          </w:tcPr>
          <w:p>
            <w:pPr>
              <w:spacing w:after="0"/>
              <w:rPr>
                <w:sz w:val="1"/>
                <w:szCs w:val="1"/>
                <w:color w:val="auto"/>
              </w:rPr>
            </w:pPr>
          </w:p>
        </w:tc>
      </w:tr>
      <w:tr>
        <w:trPr>
          <w:trHeight w:val="182"/>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Finance income</w:t>
            </w: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2,194</w:t>
            </w:r>
          </w:p>
        </w:tc>
        <w:tc>
          <w:tcPr>
            <w:tcW w:w="200" w:type="dxa"/>
            <w:vAlign w:val="bottom"/>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2,759</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820" w:type="dxa"/>
            <w:vAlign w:val="bottom"/>
            <w:tcBorders>
              <w:top w:val="single" w:sz="8" w:color="CCEEFF"/>
            </w:tcBorders>
          </w:tcPr>
          <w:p>
            <w:pPr>
              <w:spacing w:after="0"/>
              <w:rPr>
                <w:sz w:val="10"/>
                <w:szCs w:val="10"/>
                <w:color w:val="auto"/>
              </w:rPr>
            </w:pPr>
          </w:p>
        </w:tc>
        <w:tc>
          <w:tcPr>
            <w:tcW w:w="7880" w:type="dxa"/>
            <w:vAlign w:val="bottom"/>
            <w:tcBorders>
              <w:top w:val="single" w:sz="8" w:color="CCEEFF"/>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70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2"/>
                <w:szCs w:val="12"/>
                <w:b w:val="1"/>
                <w:bCs w:val="1"/>
                <w:color w:val="auto"/>
              </w:rPr>
              <w:t>Finance expense</w:t>
            </w:r>
          </w:p>
        </w:tc>
        <w:tc>
          <w:tcPr>
            <w:tcW w:w="1160" w:type="dxa"/>
            <w:vAlign w:val="bottom"/>
            <w:tcBorders>
              <w:right w:val="single" w:sz="8" w:color="CCEEFF"/>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820" w:type="dxa"/>
            <w:vAlign w:val="bottom"/>
            <w:tcBorders>
              <w:right w:val="single" w:sz="8" w:color="auto"/>
            </w:tcBorders>
            <w:shd w:val="clear" w:color="auto" w:fill="000000"/>
          </w:tcPr>
          <w:p>
            <w:pPr>
              <w:spacing w:after="0"/>
              <w:rPr>
                <w:sz w:val="2"/>
                <w:szCs w:val="2"/>
                <w:color w:val="auto"/>
              </w:rPr>
            </w:pPr>
          </w:p>
        </w:tc>
        <w:tc>
          <w:tcPr>
            <w:tcW w:w="7880" w:type="dxa"/>
            <w:vAlign w:val="bottom"/>
            <w:shd w:val="clear" w:color="auto" w:fill="CCEEFF"/>
          </w:tcPr>
          <w:p>
            <w:pPr>
              <w:spacing w:after="0"/>
              <w:rPr>
                <w:sz w:val="2"/>
                <w:szCs w:val="2"/>
                <w:color w:val="auto"/>
              </w:rPr>
            </w:pPr>
          </w:p>
        </w:tc>
        <w:tc>
          <w:tcPr>
            <w:tcW w:w="11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8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Finance expense on investments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(78)</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(168)</w:t>
            </w:r>
          </w:p>
        </w:tc>
        <w:tc>
          <w:tcPr>
            <w:tcW w:w="0" w:type="dxa"/>
            <w:vAlign w:val="bottom"/>
          </w:tcPr>
          <w:p>
            <w:pPr>
              <w:spacing w:after="0"/>
              <w:rPr>
                <w:sz w:val="1"/>
                <w:szCs w:val="1"/>
                <w:color w:val="auto"/>
              </w:rPr>
            </w:pPr>
          </w:p>
        </w:tc>
      </w:tr>
      <w:tr>
        <w:trPr>
          <w:trHeight w:val="144"/>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Finance expense on lease liability</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(6)</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20"/>
        </w:trPr>
        <w:tc>
          <w:tcPr>
            <w:tcW w:w="820" w:type="dxa"/>
            <w:vAlign w:val="bottom"/>
            <w:tcBorders>
              <w:right w:val="single" w:sz="8" w:color="CCEEFF"/>
            </w:tcBorders>
            <w:shd w:val="clear" w:color="auto" w:fill="CCEEFF"/>
          </w:tcPr>
          <w:p>
            <w:pPr>
              <w:spacing w:after="0" w:line="20" w:lineRule="exact"/>
              <w:rPr>
                <w:sz w:val="1"/>
                <w:szCs w:val="1"/>
                <w:color w:val="auto"/>
              </w:rPr>
            </w:pPr>
          </w:p>
        </w:tc>
        <w:tc>
          <w:tcPr>
            <w:tcW w:w="7880" w:type="dxa"/>
            <w:vAlign w:val="bottom"/>
            <w:shd w:val="clear" w:color="auto" w:fill="CCEEFF"/>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7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Finance expense</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(84)</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(178)</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5.  Cash and cash equivalents</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700" w:type="dxa"/>
            <w:vAlign w:val="bottom"/>
            <w:gridSpan w:val="2"/>
            <w:vMerge w:val="continue"/>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820" w:type="dxa"/>
            <w:vAlign w:val="bottom"/>
          </w:tcPr>
          <w:p>
            <w:pPr>
              <w:spacing w:after="0"/>
              <w:rPr>
                <w:sz w:val="23"/>
                <w:szCs w:val="23"/>
                <w:color w:val="auto"/>
              </w:rPr>
            </w:pPr>
          </w:p>
        </w:tc>
        <w:tc>
          <w:tcPr>
            <w:tcW w:w="7880" w:type="dxa"/>
            <w:vAlign w:val="bottom"/>
          </w:tcPr>
          <w:p>
            <w:pPr>
              <w:spacing w:after="0"/>
              <w:rPr>
                <w:sz w:val="23"/>
                <w:szCs w:val="23"/>
                <w:color w:val="auto"/>
              </w:rPr>
            </w:pP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1160" w:type="dxa"/>
            <w:vAlign w:val="bottom"/>
          </w:tcPr>
          <w:p>
            <w:pPr>
              <w:ind w:left="440"/>
              <w:spacing w:after="0"/>
              <w:rPr>
                <w:sz w:val="20"/>
                <w:szCs w:val="20"/>
                <w:color w:val="auto"/>
              </w:rPr>
            </w:pPr>
            <w:r>
              <w:rPr>
                <w:rFonts w:ascii="Times New Roman" w:cs="Times New Roman" w:eastAsia="Times New Roman" w:hAnsi="Times New Roman"/>
                <w:sz w:val="12"/>
                <w:szCs w:val="12"/>
                <w:b w:val="1"/>
                <w:bCs w:val="1"/>
                <w:color w:val="auto"/>
              </w:rPr>
              <w:t>2026</w:t>
            </w:r>
          </w:p>
        </w:tc>
        <w:tc>
          <w:tcPr>
            <w:tcW w:w="200" w:type="dxa"/>
            <w:vAlign w:val="bottom"/>
          </w:tcPr>
          <w:p>
            <w:pPr>
              <w:spacing w:after="0"/>
              <w:rPr>
                <w:sz w:val="12"/>
                <w:szCs w:val="12"/>
                <w:color w:val="auto"/>
              </w:rPr>
            </w:pPr>
          </w:p>
        </w:tc>
        <w:tc>
          <w:tcPr>
            <w:tcW w:w="1120" w:type="dxa"/>
            <w:vAlign w:val="bottom"/>
          </w:tcPr>
          <w:p>
            <w:pPr>
              <w:ind w:left="4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820" w:type="dxa"/>
            <w:vAlign w:val="bottom"/>
          </w:tcPr>
          <w:p>
            <w:pPr>
              <w:spacing w:after="0"/>
              <w:rPr>
                <w:sz w:val="13"/>
                <w:szCs w:val="13"/>
                <w:color w:val="auto"/>
              </w:rPr>
            </w:pPr>
          </w:p>
        </w:tc>
        <w:tc>
          <w:tcPr>
            <w:tcW w:w="7880" w:type="dxa"/>
            <w:vAlign w:val="bottom"/>
          </w:tcPr>
          <w:p>
            <w:pPr>
              <w:spacing w:after="0"/>
              <w:rPr>
                <w:sz w:val="13"/>
                <w:szCs w:val="13"/>
                <w:color w:val="auto"/>
              </w:rPr>
            </w:pPr>
          </w:p>
        </w:tc>
        <w:tc>
          <w:tcPr>
            <w:tcW w:w="1360" w:type="dxa"/>
            <w:vAlign w:val="bottom"/>
            <w:gridSpan w:val="2"/>
          </w:tcPr>
          <w:p>
            <w:pPr>
              <w:ind w:left="440"/>
              <w:spacing w:after="0"/>
              <w:rPr>
                <w:sz w:val="20"/>
                <w:szCs w:val="20"/>
                <w:color w:val="auto"/>
              </w:rPr>
            </w:pPr>
            <w:r>
              <w:rPr>
                <w:rFonts w:ascii="Times New Roman" w:cs="Times New Roman" w:eastAsia="Times New Roman" w:hAnsi="Times New Roman"/>
                <w:sz w:val="12"/>
                <w:szCs w:val="12"/>
                <w:b w:val="1"/>
                <w:bCs w:val="1"/>
                <w:color w:val="auto"/>
              </w:rPr>
              <w:t>$’000</w:t>
            </w: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$’000</w:t>
            </w:r>
          </w:p>
        </w:tc>
        <w:tc>
          <w:tcPr>
            <w:tcW w:w="0" w:type="dxa"/>
            <w:vAlign w:val="bottom"/>
          </w:tcPr>
          <w:p>
            <w:pPr>
              <w:spacing w:after="0"/>
              <w:rPr>
                <w:sz w:val="1"/>
                <w:szCs w:val="1"/>
                <w:color w:val="auto"/>
              </w:rPr>
            </w:pPr>
          </w:p>
        </w:tc>
      </w:tr>
      <w:tr>
        <w:trPr>
          <w:trHeight w:val="142"/>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at bank and in hand</w:t>
            </w: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32,816</w:t>
            </w:r>
          </w:p>
        </w:tc>
        <w:tc>
          <w:tcPr>
            <w:tcW w:w="20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30,972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Cash equivalents</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209,836</w:t>
            </w:r>
          </w:p>
        </w:tc>
        <w:tc>
          <w:tcPr>
            <w:tcW w:w="20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215,279</w:t>
            </w:r>
          </w:p>
        </w:tc>
        <w:tc>
          <w:tcPr>
            <w:tcW w:w="0" w:type="dxa"/>
            <w:vAlign w:val="bottom"/>
          </w:tcPr>
          <w:p>
            <w:pPr>
              <w:spacing w:after="0"/>
              <w:rPr>
                <w:sz w:val="1"/>
                <w:szCs w:val="1"/>
                <w:color w:val="auto"/>
              </w:rPr>
            </w:pPr>
          </w:p>
        </w:tc>
      </w:tr>
      <w:tr>
        <w:trPr>
          <w:trHeight w:val="182"/>
        </w:trPr>
        <w:tc>
          <w:tcPr>
            <w:tcW w:w="820" w:type="dxa"/>
            <w:vAlign w:val="bottom"/>
            <w:tcBorders>
              <w:bottom w:val="single" w:sz="8" w:color="CCEEFF"/>
              <w:right w:val="single" w:sz="8" w:color="CCEEFF"/>
            </w:tcBorders>
            <w:shd w:val="clear" w:color="auto" w:fill="CCEEFF"/>
          </w:tcPr>
          <w:p>
            <w:pPr>
              <w:spacing w:after="0"/>
              <w:rPr>
                <w:sz w:val="15"/>
                <w:szCs w:val="15"/>
                <w:color w:val="auto"/>
              </w:rPr>
            </w:pPr>
          </w:p>
        </w:tc>
        <w:tc>
          <w:tcPr>
            <w:tcW w:w="78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242,652</w:t>
            </w:r>
          </w:p>
        </w:tc>
        <w:tc>
          <w:tcPr>
            <w:tcW w:w="2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246,251</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During the three months ended March 31, 2026, proceeds of $9.9 million were received from the redemption of marketable securities, which includes accrued interest. On redemption of the marketable securities, the funds are invested in cash equivalents.</w:t>
      </w:r>
    </w:p>
    <w:p>
      <w:pPr>
        <w:spacing w:after="0" w:line="233" w:lineRule="exact"/>
        <w:rPr>
          <w:sz w:val="20"/>
          <w:szCs w:val="20"/>
          <w:color w:val="auto"/>
        </w:rPr>
      </w:pPr>
    </w:p>
    <w:p>
      <w:pPr>
        <w:ind w:left="11248"/>
        <w:spacing w:after="0"/>
        <w:rPr>
          <w:sz w:val="20"/>
          <w:szCs w:val="20"/>
          <w:color w:val="auto"/>
        </w:rPr>
      </w:pPr>
      <w:r>
        <w:rPr>
          <w:rFonts w:ascii="Times New Roman" w:cs="Times New Roman" w:eastAsia="Times New Roman" w:hAnsi="Times New Roman"/>
          <w:sz w:val="12"/>
          <w:szCs w:val="12"/>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78040" cy="11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458" w:right="299" w:bottom="1440" w:gutter="0" w:footer="0" w:header="0"/>
        </w:sectPr>
      </w:pPr>
    </w:p>
    <w:bookmarkStart w:id="13" w:name="page14"/>
    <w:bookmarkEnd w:id="13"/>
    <w:p>
      <w:pPr>
        <w:ind w:left="8"/>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6677660</wp:posOffset>
            </wp:positionH>
            <wp:positionV relativeFrom="page">
              <wp:posOffset>88900</wp:posOffset>
            </wp:positionV>
            <wp:extent cx="685800" cy="2114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85800" cy="211455"/>
                    </a:xfrm>
                    <a:prstGeom prst="rect">
                      <a:avLst/>
                    </a:prstGeom>
                    <a:noFill/>
                  </pic:spPr>
                </pic:pic>
              </a:graphicData>
            </a:graphic>
          </wp:anchor>
        </w:drawing>
        <w:t>GH RESEARCH PLC</w:t>
      </w:r>
    </w:p>
    <w:p>
      <w:pPr>
        <w:spacing w:after="0" w:line="4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NOTES TO THE UNAUDITED CONDENSED CONSOLIDATED INTERIM FINANCIAL STATEMENTS (continued)</w:t>
      </w:r>
    </w:p>
    <w:p>
      <w:pPr>
        <w:spacing w:after="0" w:line="267"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100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6.  Marketable securities</w:t>
            </w: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73"/>
        </w:trPr>
        <w:tc>
          <w:tcPr>
            <w:tcW w:w="10060" w:type="dxa"/>
            <w:vAlign w:val="bottom"/>
          </w:tcPr>
          <w:p>
            <w:pPr>
              <w:spacing w:after="0"/>
              <w:rPr>
                <w:sz w:val="23"/>
                <w:szCs w:val="23"/>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Marketable</w:t>
            </w:r>
          </w:p>
        </w:tc>
      </w:tr>
      <w:tr>
        <w:trPr>
          <w:trHeight w:val="144"/>
        </w:trPr>
        <w:tc>
          <w:tcPr>
            <w:tcW w:w="10060" w:type="dxa"/>
            <w:vAlign w:val="bottom"/>
          </w:tcPr>
          <w:p>
            <w:pPr>
              <w:spacing w:after="0"/>
              <w:rPr>
                <w:sz w:val="12"/>
                <w:szCs w:val="12"/>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securities</w:t>
            </w:r>
          </w:p>
        </w:tc>
      </w:tr>
      <w:tr>
        <w:trPr>
          <w:trHeight w:val="159"/>
        </w:trPr>
        <w:tc>
          <w:tcPr>
            <w:tcW w:w="10060" w:type="dxa"/>
            <w:vAlign w:val="bottom"/>
          </w:tcPr>
          <w:p>
            <w:pPr>
              <w:spacing w:after="0"/>
              <w:rPr>
                <w:sz w:val="13"/>
                <w:szCs w:val="13"/>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$’000</w:t>
            </w:r>
          </w:p>
        </w:tc>
      </w:tr>
      <w:tr>
        <w:trPr>
          <w:trHeight w:val="142"/>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100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At January 1, 2026</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34,457</w:t>
            </w:r>
          </w:p>
        </w:tc>
        <w:tc>
          <w:tcPr>
            <w:tcW w:w="120" w:type="dxa"/>
            <w:vAlign w:val="bottom"/>
          </w:tcPr>
          <w:p>
            <w:pPr>
              <w:spacing w:after="0"/>
              <w:rPr>
                <w:sz w:val="12"/>
                <w:szCs w:val="12"/>
                <w:color w:val="auto"/>
              </w:rPr>
            </w:pPr>
          </w:p>
        </w:tc>
      </w:tr>
      <w:tr>
        <w:trPr>
          <w:trHeight w:val="144"/>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Accrued interest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334</w:t>
            </w:r>
          </w:p>
        </w:tc>
        <w:tc>
          <w:tcPr>
            <w:tcW w:w="120" w:type="dxa"/>
            <w:vAlign w:val="bottom"/>
            <w:shd w:val="clear" w:color="auto" w:fill="CCEEFF"/>
          </w:tcPr>
          <w:p>
            <w:pPr>
              <w:spacing w:after="0"/>
              <w:rPr>
                <w:sz w:val="12"/>
                <w:szCs w:val="12"/>
                <w:color w:val="auto"/>
              </w:rPr>
            </w:pPr>
          </w:p>
        </w:tc>
      </w:tr>
      <w:tr>
        <w:trPr>
          <w:trHeight w:val="144"/>
        </w:trPr>
        <w:tc>
          <w:tcPr>
            <w:tcW w:w="10060" w:type="dxa"/>
            <w:vAlign w:val="bottom"/>
          </w:tcPr>
          <w:p>
            <w:pPr>
              <w:spacing w:after="0"/>
              <w:rPr>
                <w:sz w:val="20"/>
                <w:szCs w:val="20"/>
                <w:color w:val="auto"/>
              </w:rPr>
            </w:pPr>
            <w:r>
              <w:rPr>
                <w:rFonts w:ascii="Times New Roman" w:cs="Times New Roman" w:eastAsia="Times New Roman" w:hAnsi="Times New Roman"/>
                <w:sz w:val="12"/>
                <w:szCs w:val="12"/>
                <w:color w:val="auto"/>
              </w:rPr>
              <w:t>Interest received</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(135)</w:t>
            </w:r>
          </w:p>
        </w:tc>
      </w:tr>
      <w:tr>
        <w:trPr>
          <w:trHeight w:val="144"/>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Redemptions and disposals of marketable securities</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(9,900)</w:t>
            </w:r>
          </w:p>
        </w:tc>
      </w:tr>
      <w:tr>
        <w:trPr>
          <w:trHeight w:val="144"/>
        </w:trPr>
        <w:tc>
          <w:tcPr>
            <w:tcW w:w="10060" w:type="dxa"/>
            <w:vAlign w:val="bottom"/>
          </w:tcPr>
          <w:p>
            <w:pPr>
              <w:spacing w:after="0"/>
              <w:rPr>
                <w:sz w:val="20"/>
                <w:szCs w:val="20"/>
                <w:color w:val="auto"/>
              </w:rPr>
            </w:pPr>
            <w:r>
              <w:rPr>
                <w:rFonts w:ascii="Times New Roman" w:cs="Times New Roman" w:eastAsia="Times New Roman" w:hAnsi="Times New Roman"/>
                <w:sz w:val="12"/>
                <w:szCs w:val="12"/>
                <w:color w:val="auto"/>
              </w:rPr>
              <w:t>Revaluation adjustment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(83)</w:t>
            </w:r>
          </w:p>
        </w:tc>
      </w:tr>
      <w:tr>
        <w:trPr>
          <w:trHeight w:val="182"/>
        </w:trPr>
        <w:tc>
          <w:tcPr>
            <w:tcW w:w="10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At March 31, 2026</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24,673</w:t>
            </w: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1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At March 31, 2026, the Group’s marketable securities mature within the next year.</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movement through other comprehensive income, (“OCI”), for the three months ended March 31, 2026, and 2025, is shown in the table below:</w:t>
      </w:r>
    </w:p>
    <w:p>
      <w:pPr>
        <w:spacing w:after="0" w:line="146"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2"/>
          <w:szCs w:val="12"/>
          <w:b w:val="1"/>
          <w:bCs w:val="1"/>
          <w:color w:val="auto"/>
        </w:rPr>
        <w:t>Three months ended</w:t>
      </w:r>
    </w:p>
    <w:p>
      <w:pPr>
        <w:spacing w:after="0" w:line="21"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2"/>
          <w:szCs w:val="12"/>
          <w:b w:val="1"/>
          <w:bCs w:val="1"/>
          <w:color w:val="auto"/>
        </w:rPr>
        <w:t>March 31,</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140" w:type="dxa"/>
            <w:vAlign w:val="bottom"/>
          </w:tcPr>
          <w:p>
            <w:pPr>
              <w:spacing w:after="0"/>
              <w:rPr>
                <w:sz w:val="11"/>
                <w:szCs w:val="11"/>
                <w:color w:val="auto"/>
              </w:rPr>
            </w:pPr>
          </w:p>
        </w:tc>
        <w:tc>
          <w:tcPr>
            <w:tcW w:w="8560" w:type="dxa"/>
            <w:vAlign w:val="bottom"/>
          </w:tcPr>
          <w:p>
            <w:pPr>
              <w:spacing w:after="0"/>
              <w:rPr>
                <w:sz w:val="11"/>
                <w:szCs w:val="11"/>
                <w:color w:val="auto"/>
              </w:rPr>
            </w:pPr>
          </w:p>
        </w:tc>
        <w:tc>
          <w:tcPr>
            <w:tcW w:w="860" w:type="dxa"/>
            <w:vAlign w:val="bottom"/>
            <w:tcBorders>
              <w:top w:val="single" w:sz="8" w:color="auto"/>
            </w:tcBorders>
          </w:tcPr>
          <w:p>
            <w:pPr>
              <w:jc w:val="right"/>
              <w:ind w:right="100"/>
              <w:spacing w:after="0" w:line="128" w:lineRule="exact"/>
              <w:rPr>
                <w:sz w:val="20"/>
                <w:szCs w:val="20"/>
                <w:color w:val="auto"/>
              </w:rPr>
            </w:pPr>
            <w:r>
              <w:rPr>
                <w:rFonts w:ascii="Times New Roman" w:cs="Times New Roman" w:eastAsia="Times New Roman" w:hAnsi="Times New Roman"/>
                <w:sz w:val="12"/>
                <w:szCs w:val="12"/>
                <w:b w:val="1"/>
                <w:bCs w:val="1"/>
                <w:color w:val="auto"/>
              </w:rPr>
              <w:t>2026</w:t>
            </w: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380"/>
              <w:spacing w:after="0" w:line="128" w:lineRule="exact"/>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Pr>
          <w:p>
            <w:pPr>
              <w:spacing w:after="0"/>
              <w:rPr>
                <w:sz w:val="11"/>
                <w:szCs w:val="11"/>
                <w:color w:val="auto"/>
              </w:rPr>
            </w:pPr>
          </w:p>
        </w:tc>
      </w:tr>
      <w:tr>
        <w:trPr>
          <w:trHeight w:val="159"/>
        </w:trPr>
        <w:tc>
          <w:tcPr>
            <w:tcW w:w="140" w:type="dxa"/>
            <w:vAlign w:val="bottom"/>
          </w:tcPr>
          <w:p>
            <w:pPr>
              <w:spacing w:after="0"/>
              <w:rPr>
                <w:sz w:val="13"/>
                <w:szCs w:val="13"/>
                <w:color w:val="auto"/>
              </w:rPr>
            </w:pPr>
          </w:p>
        </w:tc>
        <w:tc>
          <w:tcPr>
            <w:tcW w:w="8560" w:type="dxa"/>
            <w:vAlign w:val="bottom"/>
          </w:tcPr>
          <w:p>
            <w:pPr>
              <w:spacing w:after="0"/>
              <w:rPr>
                <w:sz w:val="13"/>
                <w:szCs w:val="13"/>
                <w:color w:val="auto"/>
              </w:rPr>
            </w:pPr>
          </w:p>
        </w:tc>
        <w:tc>
          <w:tcPr>
            <w:tcW w:w="860" w:type="dxa"/>
            <w:vAlign w:val="bottom"/>
          </w:tcPr>
          <w:p>
            <w:pPr>
              <w:jc w:val="center"/>
              <w:ind w:left="240"/>
              <w:spacing w:after="0"/>
              <w:rPr>
                <w:sz w:val="20"/>
                <w:szCs w:val="20"/>
                <w:color w:val="auto"/>
              </w:rPr>
            </w:pPr>
            <w:r>
              <w:rPr>
                <w:rFonts w:ascii="Times New Roman" w:cs="Times New Roman" w:eastAsia="Times New Roman" w:hAnsi="Times New Roman"/>
                <w:sz w:val="12"/>
                <w:szCs w:val="12"/>
                <w:b w:val="1"/>
                <w:bCs w:val="1"/>
                <w:color w:val="auto"/>
                <w:w w:val="99"/>
              </w:rPr>
              <w:t>$’000</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$’000</w:t>
            </w:r>
          </w:p>
        </w:tc>
      </w:tr>
      <w:tr>
        <w:trPr>
          <w:trHeight w:val="142"/>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Revaluation adjustments</w:t>
            </w:r>
          </w:p>
        </w:tc>
        <w:tc>
          <w:tcPr>
            <w:tcW w:w="8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w:t>
            </w: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2"/>
                <w:szCs w:val="12"/>
                <w:color w:val="auto"/>
                <w:w w:val="82"/>
              </w:rPr>
              <w:t>41</w:t>
            </w:r>
          </w:p>
        </w:tc>
        <w:tc>
          <w:tcPr>
            <w:tcW w:w="120" w:type="dxa"/>
            <w:vAlign w:val="bottom"/>
            <w:shd w:val="clear" w:color="auto" w:fill="CCEEFF"/>
          </w:tcPr>
          <w:p>
            <w:pPr>
              <w:spacing w:after="0"/>
              <w:rPr>
                <w:sz w:val="12"/>
                <w:szCs w:val="12"/>
                <w:color w:val="auto"/>
              </w:rPr>
            </w:pPr>
          </w:p>
        </w:tc>
      </w:tr>
      <w:tr>
        <w:trPr>
          <w:trHeight w:val="144"/>
        </w:trPr>
        <w:tc>
          <w:tcPr>
            <w:tcW w:w="95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Movement of expected credit losses on assets measured at FVOCI</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w:t>
            </w:r>
          </w:p>
        </w:tc>
        <w:tc>
          <w:tcPr>
            <w:tcW w:w="1240" w:type="dxa"/>
            <w:vAlign w:val="bottom"/>
            <w:gridSpan w:val="2"/>
          </w:tcPr>
          <w:p>
            <w:pPr>
              <w:ind w:left="1000"/>
              <w:spacing w:after="0"/>
              <w:rPr>
                <w:sz w:val="20"/>
                <w:szCs w:val="20"/>
                <w:color w:val="auto"/>
              </w:rPr>
            </w:pPr>
            <w:r>
              <w:rPr>
                <w:rFonts w:ascii="Times New Roman" w:cs="Times New Roman" w:eastAsia="Times New Roman" w:hAnsi="Times New Roman"/>
                <w:sz w:val="12"/>
                <w:szCs w:val="12"/>
                <w:color w:val="auto"/>
              </w:rPr>
              <w:t>19</w:t>
            </w:r>
          </w:p>
        </w:tc>
      </w:tr>
      <w:tr>
        <w:trPr>
          <w:trHeight w:val="182"/>
        </w:trPr>
        <w:tc>
          <w:tcPr>
            <w:tcW w:w="8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Movement on marketable securities through OCI</w:t>
            </w:r>
          </w:p>
        </w:tc>
        <w:tc>
          <w:tcPr>
            <w:tcW w:w="860" w:type="dxa"/>
            <w:vAlign w:val="bottom"/>
            <w:tcBorders>
              <w:top w:val="single" w:sz="8" w:color="auto"/>
              <w:bottom w:val="single" w:sz="8" w:color="auto"/>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(84)</w:t>
            </w:r>
          </w:p>
        </w:tc>
        <w:tc>
          <w:tcPr>
            <w:tcW w:w="2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2"/>
                <w:szCs w:val="12"/>
                <w:b w:val="1"/>
                <w:bCs w:val="1"/>
                <w:color w:val="auto"/>
                <w:w w:val="82"/>
              </w:rPr>
              <w:t>60</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264"/>
        </w:trPr>
        <w:tc>
          <w:tcPr>
            <w:tcW w:w="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7.</w:t>
            </w:r>
          </w:p>
        </w:tc>
        <w:tc>
          <w:tcPr>
            <w:tcW w:w="94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Other current assets</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88"/>
        </w:trPr>
        <w:tc>
          <w:tcPr>
            <w:tcW w:w="95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Other current assets primarily represent prepayments and research and development tax credit receivable.</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8.</w:t>
            </w:r>
          </w:p>
        </w:tc>
        <w:tc>
          <w:tcPr>
            <w:tcW w:w="94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Other non-current assets</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Other non-current assets represent research and development tax credit receivable</w:t>
      </w:r>
    </w:p>
    <w:p>
      <w:pPr>
        <w:spacing w:after="0" w:line="146" w:lineRule="exact"/>
        <w:rPr>
          <w:sz w:val="20"/>
          <w:szCs w:val="20"/>
          <w:color w:val="auto"/>
        </w:rPr>
      </w:pPr>
    </w:p>
    <w:p>
      <w:pPr>
        <w:ind w:left="208" w:hanging="208"/>
        <w:spacing w:after="0"/>
        <w:tabs>
          <w:tab w:leader="none" w:pos="208" w:val="left"/>
        </w:tabs>
        <w:numPr>
          <w:ilvl w:val="0"/>
          <w:numId w:val="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Trade payables</w:t>
      </w:r>
    </w:p>
    <w:p>
      <w:pPr>
        <w:spacing w:after="0" w:line="154"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Trade payables primarily represents amounts incurred for the provision of manufacturing, research and consulting services and professional fees, which are outstanding at the end of the period. Trade payables are due to be settled at different times within 12 months.</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10. Other current liabilities</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Other current liabilities primarily represent accruals for operating expenses and employee tax payable and are expected to be settled within one year.</w:t>
      </w:r>
    </w:p>
    <w:p>
      <w:pPr>
        <w:spacing w:after="0" w:line="2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78040" cy="11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458" w:right="299" w:bottom="1440" w:gutter="0" w:footer="0" w:header="0"/>
        </w:sectPr>
      </w:pPr>
    </w:p>
    <w:bookmarkStart w:id="14" w:name="page15"/>
    <w:bookmarkEnd w:id="14"/>
    <w:p>
      <w:pPr>
        <w:ind w:left="8"/>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6677660</wp:posOffset>
            </wp:positionH>
            <wp:positionV relativeFrom="page">
              <wp:posOffset>88900</wp:posOffset>
            </wp:positionV>
            <wp:extent cx="685800" cy="2114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685800" cy="211455"/>
                    </a:xfrm>
                    <a:prstGeom prst="rect">
                      <a:avLst/>
                    </a:prstGeom>
                    <a:noFill/>
                  </pic:spPr>
                </pic:pic>
              </a:graphicData>
            </a:graphic>
          </wp:anchor>
        </w:drawing>
        <w:t>GH RESEARCH PLC</w:t>
      </w:r>
    </w:p>
    <w:p>
      <w:pPr>
        <w:spacing w:after="0" w:line="4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NOTES TO THE UNAUDITED CONDENSED CONSOLIDATED INTERIM FINANCIAL STATEMENTS (continued)</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11. Share capital</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10060" w:type="dxa"/>
            <w:vAlign w:val="bottom"/>
          </w:tcPr>
          <w:p>
            <w:pPr>
              <w:spacing w:after="0"/>
              <w:rPr>
                <w:sz w:val="12"/>
                <w:szCs w:val="12"/>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Number of</w:t>
            </w:r>
          </w:p>
        </w:tc>
      </w:tr>
      <w:tr>
        <w:trPr>
          <w:trHeight w:val="159"/>
        </w:trPr>
        <w:tc>
          <w:tcPr>
            <w:tcW w:w="10060" w:type="dxa"/>
            <w:vAlign w:val="bottom"/>
          </w:tcPr>
          <w:p>
            <w:pPr>
              <w:spacing w:after="0"/>
              <w:rPr>
                <w:sz w:val="13"/>
                <w:szCs w:val="13"/>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outstanding shares</w:t>
            </w:r>
          </w:p>
        </w:tc>
      </w:tr>
      <w:tr>
        <w:trPr>
          <w:trHeight w:val="142"/>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At December 31, 2025</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62,029,395</w:t>
            </w:r>
          </w:p>
        </w:tc>
        <w:tc>
          <w:tcPr>
            <w:tcW w:w="120" w:type="dxa"/>
            <w:vAlign w:val="bottom"/>
            <w:shd w:val="clear" w:color="auto" w:fill="CCEEFF"/>
          </w:tcPr>
          <w:p>
            <w:pPr>
              <w:spacing w:after="0"/>
              <w:rPr>
                <w:sz w:val="12"/>
                <w:szCs w:val="12"/>
                <w:color w:val="auto"/>
              </w:rPr>
            </w:pPr>
          </w:p>
        </w:tc>
      </w:tr>
      <w:tr>
        <w:trPr>
          <w:trHeight w:val="171"/>
        </w:trPr>
        <w:tc>
          <w:tcPr>
            <w:tcW w:w="10060" w:type="dxa"/>
            <w:vAlign w:val="bottom"/>
          </w:tcPr>
          <w:p>
            <w:pPr>
              <w:spacing w:after="0" w:line="171" w:lineRule="exact"/>
              <w:rPr>
                <w:sz w:val="20"/>
                <w:szCs w:val="20"/>
                <w:color w:val="auto"/>
              </w:rPr>
            </w:pPr>
            <w:r>
              <w:rPr>
                <w:rFonts w:ascii="Times New Roman" w:cs="Times New Roman" w:eastAsia="Times New Roman" w:hAnsi="Times New Roman"/>
                <w:sz w:val="12"/>
                <w:szCs w:val="12"/>
                <w:color w:val="auto"/>
              </w:rPr>
              <w:t>Share option exercises</w:t>
            </w:r>
            <w:r>
              <w:rPr>
                <w:rFonts w:ascii="Times New Roman" w:cs="Times New Roman" w:eastAsia="Times New Roman" w:hAnsi="Times New Roman"/>
                <w:sz w:val="19"/>
                <w:szCs w:val="19"/>
                <w:color w:val="auto"/>
                <w:vertAlign w:val="superscript"/>
              </w:rPr>
              <w:t>(1)</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23,111</w:t>
            </w:r>
          </w:p>
        </w:tc>
        <w:tc>
          <w:tcPr>
            <w:tcW w:w="120" w:type="dxa"/>
            <w:vAlign w:val="bottom"/>
          </w:tcPr>
          <w:p>
            <w:pPr>
              <w:spacing w:after="0"/>
              <w:rPr>
                <w:sz w:val="14"/>
                <w:szCs w:val="14"/>
                <w:color w:val="auto"/>
              </w:rPr>
            </w:pPr>
          </w:p>
        </w:tc>
      </w:tr>
      <w:tr>
        <w:trPr>
          <w:trHeight w:val="182"/>
        </w:trPr>
        <w:tc>
          <w:tcPr>
            <w:tcW w:w="10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At March 31, 2026</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62,052,506</w:t>
            </w: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1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0"/>
          <w:szCs w:val="10"/>
          <w:color w:val="auto"/>
        </w:rPr>
        <w:t xml:space="preserve"> See Note 13</w:t>
      </w:r>
    </w:p>
    <w:p>
      <w:pPr>
        <w:spacing w:after="0" w:line="19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12. Contingencies</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As of March 31, 2026, there were no material contingencies which required adjustment or disclosure in the unaudited condensed consolidated interim financial statements (2025: none).</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13. Share based compensation</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Share Options</w:t>
      </w:r>
    </w:p>
    <w:p>
      <w:pPr>
        <w:spacing w:after="0" w:line="21" w:lineRule="exact"/>
        <w:rPr>
          <w:sz w:val="20"/>
          <w:szCs w:val="20"/>
          <w:color w:val="auto"/>
        </w:rPr>
      </w:pPr>
    </w:p>
    <w:p>
      <w:pPr>
        <w:jc w:val="both"/>
        <w:ind w:left="8" w:right="20"/>
        <w:spacing w:after="0" w:line="255" w:lineRule="auto"/>
        <w:rPr>
          <w:sz w:val="20"/>
          <w:szCs w:val="20"/>
          <w:color w:val="auto"/>
        </w:rPr>
      </w:pPr>
      <w:r>
        <w:rPr>
          <w:rFonts w:ascii="Times New Roman" w:cs="Times New Roman" w:eastAsia="Times New Roman" w:hAnsi="Times New Roman"/>
          <w:sz w:val="12"/>
          <w:szCs w:val="12"/>
          <w:color w:val="auto"/>
        </w:rPr>
        <w:t>In June 2021, the Company adopted a share option plan referred to herein as the Share Option Plan under which grants of options are made to eligible participants. The Company initially reserved 1,202,734 ordinary shares for future issuance under the Share Option Plan, which includes ordinary shares pursuant to share-based equity awards issued to date. As of March 31, 2026, the total number of ordinary shares which may be issued under the Share Option Plan was 3,721,251, and the Company has 935,168 ordinary shares available for the future issuance of share-based equity awards.</w:t>
      </w:r>
    </w:p>
    <w:p>
      <w:pPr>
        <w:spacing w:after="0" w:line="125"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Under the Share Option Plan, the options may be settled only in ordinary shares of the Company. Therefore, the grants of share options under the Share Option Plan have been accounted for as equity-settled under IFRS 2. As such, the Company records a charge for the vested portion of award grants and for partially earned but non-vested portion of award grants.</w:t>
      </w:r>
    </w:p>
    <w:p>
      <w:pPr>
        <w:spacing w:after="0" w:line="111" w:lineRule="exact"/>
        <w:rPr>
          <w:sz w:val="20"/>
          <w:szCs w:val="20"/>
          <w:color w:val="auto"/>
        </w:rPr>
      </w:pPr>
    </w:p>
    <w:p>
      <w:pPr>
        <w:jc w:val="both"/>
        <w:ind w:left="8"/>
        <w:spacing w:after="0" w:line="257" w:lineRule="auto"/>
        <w:rPr>
          <w:sz w:val="20"/>
          <w:szCs w:val="20"/>
          <w:color w:val="auto"/>
        </w:rPr>
      </w:pPr>
      <w:r>
        <w:rPr>
          <w:rFonts w:ascii="Times New Roman" w:cs="Times New Roman" w:eastAsia="Times New Roman" w:hAnsi="Times New Roman"/>
          <w:sz w:val="12"/>
          <w:szCs w:val="12"/>
          <w:color w:val="auto"/>
        </w:rPr>
        <w:t>During the three months ended March 31, 2026, the Company granted the option to purchase 201,950 ordinary shares, which were in line with the general terms of the Share Option Plan. Of the share options granted in the three months ended March 31, 2026, 52,500 share options were granted which vest 25% on the first anniversary of the date of grant, and thereafter evenly on a monthly basis over the subsequent three years and are subject to a two-year service condition. The contractual term (expiration) of these share options is eight years from the grant date with an exercise price of the closing market price on the day prior to the grant. Of the share options granted in the three months ended March 31, 2026, 149,450 share options were granted which vest 25% on the first anniversary of the date of grant, and thereafter evenly on a monthly basis over the subsequent three years. The contractual term (expiration) of these share options is seven years from the grant date with an exercise price of $0.025.</w:t>
      </w:r>
    </w:p>
    <w:p>
      <w:pPr>
        <w:spacing w:after="0" w:line="125"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The following table summarizes the share option awards outstanding as of March 31, 2026:</w:t>
            </w: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73"/>
        </w:trPr>
        <w:tc>
          <w:tcPr>
            <w:tcW w:w="7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Weighted</w:t>
            </w:r>
          </w:p>
        </w:tc>
      </w:tr>
      <w:tr>
        <w:trPr>
          <w:trHeight w:val="144"/>
        </w:trPr>
        <w:tc>
          <w:tcPr>
            <w:tcW w:w="7340" w:type="dxa"/>
            <w:vAlign w:val="bottom"/>
          </w:tcPr>
          <w:p>
            <w:pPr>
              <w:spacing w:after="0"/>
              <w:rPr>
                <w:sz w:val="12"/>
                <w:szCs w:val="12"/>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Average exercise</w:t>
            </w: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average</w:t>
            </w:r>
          </w:p>
        </w:tc>
      </w:tr>
      <w:tr>
        <w:trPr>
          <w:trHeight w:val="144"/>
        </w:trPr>
        <w:tc>
          <w:tcPr>
            <w:tcW w:w="7340" w:type="dxa"/>
            <w:vAlign w:val="bottom"/>
          </w:tcPr>
          <w:p>
            <w:pPr>
              <w:spacing w:after="0"/>
              <w:rPr>
                <w:sz w:val="12"/>
                <w:szCs w:val="12"/>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8"/>
              </w:rPr>
              <w:t>price per share</w:t>
            </w: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remaining</w:t>
            </w:r>
          </w:p>
        </w:tc>
      </w:tr>
      <w:tr>
        <w:trPr>
          <w:trHeight w:val="144"/>
        </w:trPr>
        <w:tc>
          <w:tcPr>
            <w:tcW w:w="7340" w:type="dxa"/>
            <w:vAlign w:val="bottom"/>
          </w:tcPr>
          <w:p>
            <w:pPr>
              <w:spacing w:after="0"/>
              <w:rPr>
                <w:sz w:val="12"/>
                <w:szCs w:val="12"/>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in</w:t>
            </w: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life</w:t>
            </w:r>
          </w:p>
        </w:tc>
      </w:tr>
      <w:tr>
        <w:trPr>
          <w:trHeight w:val="159"/>
        </w:trPr>
        <w:tc>
          <w:tcPr>
            <w:tcW w:w="7340" w:type="dxa"/>
            <w:vAlign w:val="bottom"/>
          </w:tcPr>
          <w:p>
            <w:pPr>
              <w:spacing w:after="0"/>
              <w:rPr>
                <w:sz w:val="13"/>
                <w:szCs w:val="13"/>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USD</w:t>
            </w: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awards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in years</w:t>
            </w:r>
          </w:p>
        </w:tc>
      </w:tr>
      <w:tr>
        <w:trPr>
          <w:trHeight w:val="14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At December 31, 2025</w:t>
            </w:r>
          </w:p>
        </w:tc>
        <w:tc>
          <w:tcPr>
            <w:tcW w:w="114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2"/>
                <w:szCs w:val="12"/>
                <w:b w:val="1"/>
                <w:bCs w:val="1"/>
                <w:color w:val="auto"/>
                <w:w w:val="85"/>
              </w:rPr>
              <w:t>3.87</w:t>
            </w:r>
          </w:p>
        </w:tc>
        <w:tc>
          <w:tcPr>
            <w:tcW w:w="24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2,594,914</w:t>
            </w: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2"/>
                <w:szCs w:val="12"/>
                <w:b w:val="1"/>
                <w:bCs w:val="1"/>
                <w:color w:val="auto"/>
                <w:w w:val="85"/>
              </w:rPr>
              <w:t>5.91</w:t>
            </w:r>
          </w:p>
        </w:tc>
        <w:tc>
          <w:tcPr>
            <w:tcW w:w="120" w:type="dxa"/>
            <w:vAlign w:val="bottom"/>
            <w:shd w:val="clear" w:color="auto" w:fill="CCEEFF"/>
          </w:tcPr>
          <w:p>
            <w:pPr>
              <w:spacing w:after="0"/>
              <w:rPr>
                <w:sz w:val="12"/>
                <w:szCs w:val="12"/>
                <w:color w:val="auto"/>
              </w:rPr>
            </w:pPr>
          </w:p>
        </w:tc>
      </w:tr>
      <w:tr>
        <w:trPr>
          <w:trHeight w:val="144"/>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Granted</w:t>
            </w:r>
          </w:p>
        </w:tc>
        <w:tc>
          <w:tcPr>
            <w:tcW w:w="1380" w:type="dxa"/>
            <w:vAlign w:val="bottom"/>
            <w:gridSpan w:val="2"/>
          </w:tcPr>
          <w:p>
            <w:pPr>
              <w:ind w:left="940"/>
              <w:spacing w:after="0"/>
              <w:rPr>
                <w:sz w:val="20"/>
                <w:szCs w:val="20"/>
                <w:color w:val="auto"/>
              </w:rPr>
            </w:pPr>
            <w:r>
              <w:rPr>
                <w:rFonts w:ascii="Times New Roman" w:cs="Times New Roman" w:eastAsia="Times New Roman" w:hAnsi="Times New Roman"/>
                <w:sz w:val="12"/>
                <w:szCs w:val="12"/>
                <w:color w:val="auto"/>
              </w:rPr>
              <w:t>3.88</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201,950</w:t>
            </w:r>
          </w:p>
        </w:tc>
        <w:tc>
          <w:tcPr>
            <w:tcW w:w="220" w:type="dxa"/>
            <w:vAlign w:val="bottom"/>
          </w:tcPr>
          <w:p>
            <w:pPr>
              <w:spacing w:after="0"/>
              <w:rPr>
                <w:sz w:val="12"/>
                <w:szCs w:val="12"/>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2"/>
                <w:szCs w:val="12"/>
                <w:color w:val="auto"/>
              </w:rPr>
              <w:t>7.10</w:t>
            </w:r>
          </w:p>
        </w:tc>
      </w:tr>
      <w:tr>
        <w:trPr>
          <w:trHeight w:val="14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Forfeited/Expired</w:t>
            </w:r>
          </w:p>
        </w:tc>
        <w:tc>
          <w:tcPr>
            <w:tcW w:w="13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2"/>
                <w:szCs w:val="12"/>
                <w:color w:val="auto"/>
              </w:rPr>
              <w:t>3.06</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(19,327)</w:t>
            </w: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2"/>
                <w:szCs w:val="12"/>
                <w:color w:val="auto"/>
              </w:rPr>
              <w:t>5.60</w:t>
            </w:r>
          </w:p>
        </w:tc>
      </w:tr>
      <w:tr>
        <w:trPr>
          <w:trHeight w:val="171"/>
        </w:trPr>
        <w:tc>
          <w:tcPr>
            <w:tcW w:w="7340" w:type="dxa"/>
            <w:vAlign w:val="bottom"/>
          </w:tcPr>
          <w:p>
            <w:pPr>
              <w:spacing w:after="0" w:line="171" w:lineRule="exact"/>
              <w:rPr>
                <w:sz w:val="20"/>
                <w:szCs w:val="20"/>
                <w:color w:val="auto"/>
              </w:rPr>
            </w:pPr>
            <w:r>
              <w:rPr>
                <w:rFonts w:ascii="Times New Roman" w:cs="Times New Roman" w:eastAsia="Times New Roman" w:hAnsi="Times New Roman"/>
                <w:sz w:val="12"/>
                <w:szCs w:val="12"/>
                <w:color w:val="auto"/>
              </w:rPr>
              <w:t>Exercised</w:t>
            </w:r>
            <w:r>
              <w:rPr>
                <w:rFonts w:ascii="Times New Roman" w:cs="Times New Roman" w:eastAsia="Times New Roman" w:hAnsi="Times New Roman"/>
                <w:sz w:val="19"/>
                <w:szCs w:val="19"/>
                <w:color w:val="auto"/>
                <w:vertAlign w:val="superscript"/>
              </w:rPr>
              <w:t>(1)</w:t>
            </w:r>
          </w:p>
        </w:tc>
        <w:tc>
          <w:tcPr>
            <w:tcW w:w="1380" w:type="dxa"/>
            <w:vAlign w:val="bottom"/>
            <w:gridSpan w:val="2"/>
          </w:tcPr>
          <w:p>
            <w:pPr>
              <w:ind w:left="940"/>
              <w:spacing w:after="0"/>
              <w:rPr>
                <w:sz w:val="20"/>
                <w:szCs w:val="20"/>
                <w:color w:val="auto"/>
              </w:rPr>
            </w:pPr>
            <w:r>
              <w:rPr>
                <w:rFonts w:ascii="Times New Roman" w:cs="Times New Roman" w:eastAsia="Times New Roman" w:hAnsi="Times New Roman"/>
                <w:sz w:val="12"/>
                <w:szCs w:val="12"/>
                <w:color w:val="auto"/>
              </w:rPr>
              <w:t>3.14</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(23,111)</w:t>
            </w: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2"/>
                <w:szCs w:val="12"/>
                <w:color w:val="auto"/>
              </w:rPr>
              <w:t>4.90</w:t>
            </w:r>
          </w:p>
        </w:tc>
      </w:tr>
      <w:tr>
        <w:trPr>
          <w:trHeight w:val="142"/>
        </w:trPr>
        <w:tc>
          <w:tcPr>
            <w:tcW w:w="734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0"/>
                <w:szCs w:val="10"/>
                <w:b w:val="1"/>
                <w:bCs w:val="1"/>
                <w:color w:val="auto"/>
              </w:rPr>
              <w:t>At March 31, 2026</w:t>
            </w:r>
            <w:r>
              <w:rPr>
                <w:rFonts w:ascii="Times New Roman" w:cs="Times New Roman" w:eastAsia="Times New Roman" w:hAnsi="Times New Roman"/>
                <w:sz w:val="16"/>
                <w:szCs w:val="16"/>
                <w:color w:val="auto"/>
                <w:vertAlign w:val="superscript"/>
              </w:rPr>
              <w:t>(2)</w:t>
            </w:r>
          </w:p>
        </w:tc>
        <w:tc>
          <w:tcPr>
            <w:tcW w:w="138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2"/>
                <w:szCs w:val="12"/>
                <w:b w:val="1"/>
                <w:bCs w:val="1"/>
                <w:color w:val="auto"/>
              </w:rPr>
              <w:t>3.88</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2,754,426</w:t>
            </w:r>
          </w:p>
        </w:tc>
        <w:tc>
          <w:tcPr>
            <w:tcW w:w="2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2"/>
                <w:szCs w:val="12"/>
                <w:b w:val="1"/>
                <w:bCs w:val="1"/>
                <w:color w:val="auto"/>
              </w:rPr>
              <w:t>5.76</w:t>
            </w:r>
          </w:p>
        </w:tc>
      </w:tr>
    </w:tbl>
    <w:p>
      <w:pPr>
        <w:spacing w:after="0" w:line="142" w:lineRule="exact"/>
        <w:rPr>
          <w:sz w:val="20"/>
          <w:szCs w:val="20"/>
          <w:color w:val="auto"/>
        </w:rPr>
      </w:pPr>
    </w:p>
    <w:p>
      <w:pPr>
        <w:ind w:left="108" w:hanging="108"/>
        <w:spacing w:after="0"/>
        <w:tabs>
          <w:tab w:leader="none" w:pos="108" w:val="left"/>
        </w:tabs>
        <w:numPr>
          <w:ilvl w:val="0"/>
          <w:numId w:val="5"/>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8"/>
          <w:szCs w:val="8"/>
          <w:color w:val="auto"/>
        </w:rPr>
        <w:t>The weighted average share price of share options exercised was $15.48.</w:t>
      </w:r>
    </w:p>
    <w:p>
      <w:pPr>
        <w:spacing w:after="0" w:line="21" w:lineRule="exact"/>
        <w:rPr>
          <w:rFonts w:ascii="Times New Roman" w:cs="Times New Roman" w:eastAsia="Times New Roman" w:hAnsi="Times New Roman"/>
          <w:sz w:val="12"/>
          <w:szCs w:val="12"/>
          <w:color w:val="auto"/>
          <w:vertAlign w:val="superscript"/>
        </w:rPr>
      </w:pPr>
    </w:p>
    <w:p>
      <w:pPr>
        <w:ind w:left="108" w:hanging="108"/>
        <w:spacing w:after="0" w:line="197" w:lineRule="auto"/>
        <w:tabs>
          <w:tab w:leader="none" w:pos="108" w:val="left"/>
        </w:tabs>
        <w:numPr>
          <w:ilvl w:val="0"/>
          <w:numId w:val="5"/>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8"/>
          <w:szCs w:val="8"/>
          <w:color w:val="auto"/>
        </w:rPr>
        <w:t>804,391 of the awards outstanding as of March 31, 2026, were exercisable.</w:t>
      </w:r>
    </w:p>
    <w:p>
      <w:pPr>
        <w:spacing w:after="0" w:line="2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78040"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458" w:right="2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6677660</wp:posOffset>
            </wp:positionH>
            <wp:positionV relativeFrom="page">
              <wp:posOffset>88900</wp:posOffset>
            </wp:positionV>
            <wp:extent cx="685800" cy="2114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685800" cy="211455"/>
                    </a:xfrm>
                    <a:prstGeom prst="rect">
                      <a:avLst/>
                    </a:prstGeom>
                    <a:noFill/>
                  </pic:spPr>
                </pic:pic>
              </a:graphicData>
            </a:graphic>
          </wp:anchor>
        </w:drawing>
        <w:t>GH RESEARCH PLC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NOTES TO THE UNAUDITED CONDENSED CONSOLIDATED INTERIM FINANCIAL STATEMENTS (continued)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weighted average grant date fair value of awards granted during the three months ended March 31, 2026 was $13.16 per award.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The fair values of the options granted were determined on the date of the grant using the Black-Scholes option-pricing model.</w:t>
            </w: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The fair values of the options granted during the three months ended March 31, 2026, and 2025, were determined on the date of the grant using the following assumptions:</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3"/>
        </w:trPr>
        <w:tc>
          <w:tcPr>
            <w:tcW w:w="8700" w:type="dxa"/>
            <w:vAlign w:val="bottom"/>
          </w:tcPr>
          <w:p>
            <w:pPr>
              <w:spacing w:after="0"/>
              <w:rPr>
                <w:sz w:val="23"/>
                <w:szCs w:val="23"/>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220" w:type="dxa"/>
            <w:vAlign w:val="bottom"/>
          </w:tcPr>
          <w:p>
            <w:pPr>
              <w:spacing w:after="0"/>
              <w:rPr>
                <w:sz w:val="23"/>
                <w:szCs w:val="23"/>
                <w:color w:val="auto"/>
              </w:rPr>
            </w:pPr>
          </w:p>
        </w:tc>
        <w:tc>
          <w:tcPr>
            <w:tcW w:w="112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20" w:type="dxa"/>
            <w:vAlign w:val="bottom"/>
          </w:tcPr>
          <w:p>
            <w:pPr>
              <w:spacing w:after="0"/>
              <w:rPr>
                <w:sz w:val="23"/>
                <w:szCs w:val="23"/>
                <w:color w:val="auto"/>
              </w:rPr>
            </w:pPr>
          </w:p>
        </w:tc>
      </w:tr>
      <w:tr>
        <w:trPr>
          <w:trHeight w:val="159"/>
        </w:trPr>
        <w:tc>
          <w:tcPr>
            <w:tcW w:w="8700" w:type="dxa"/>
            <w:vAlign w:val="bottom"/>
          </w:tcPr>
          <w:p>
            <w:pPr>
              <w:spacing w:after="0"/>
              <w:rPr>
                <w:sz w:val="13"/>
                <w:szCs w:val="13"/>
                <w:color w:val="auto"/>
              </w:rPr>
            </w:pPr>
          </w:p>
        </w:tc>
        <w:tc>
          <w:tcPr>
            <w:tcW w:w="11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March 31, 2026</w:t>
            </w:r>
          </w:p>
        </w:tc>
        <w:tc>
          <w:tcPr>
            <w:tcW w:w="220" w:type="dxa"/>
            <w:vAlign w:val="bottom"/>
          </w:tcPr>
          <w:p>
            <w:pPr>
              <w:spacing w:after="0"/>
              <w:rPr>
                <w:sz w:val="13"/>
                <w:szCs w:val="13"/>
                <w:color w:val="auto"/>
              </w:rPr>
            </w:pPr>
          </w:p>
        </w:tc>
        <w:tc>
          <w:tcPr>
            <w:tcW w:w="11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2"/>
                <w:szCs w:val="12"/>
                <w:b w:val="1"/>
                <w:bCs w:val="1"/>
                <w:color w:val="auto"/>
              </w:rPr>
              <w:t>March 31, 2025</w:t>
            </w:r>
          </w:p>
        </w:tc>
        <w:tc>
          <w:tcPr>
            <w:tcW w:w="120" w:type="dxa"/>
            <w:vAlign w:val="bottom"/>
          </w:tcPr>
          <w:p>
            <w:pPr>
              <w:spacing w:after="0"/>
              <w:rPr>
                <w:sz w:val="13"/>
                <w:szCs w:val="13"/>
                <w:color w:val="auto"/>
              </w:rPr>
            </w:pPr>
          </w:p>
        </w:tc>
      </w:tr>
      <w:tr>
        <w:trPr>
          <w:trHeight w:val="14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 price, in USD</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13.03</w:t>
            </w: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- 16.60</w:t>
            </w: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2"/>
                <w:szCs w:val="12"/>
                <w:color w:val="auto"/>
                <w:w w:val="99"/>
              </w:rPr>
              <w:t>7.91 - 10.88</w:t>
            </w:r>
          </w:p>
        </w:tc>
        <w:tc>
          <w:tcPr>
            <w:tcW w:w="120" w:type="dxa"/>
            <w:vAlign w:val="bottom"/>
            <w:shd w:val="clear" w:color="auto" w:fill="CCEEFF"/>
          </w:tcPr>
          <w:p>
            <w:pPr>
              <w:spacing w:after="0"/>
              <w:rPr>
                <w:sz w:val="12"/>
                <w:szCs w:val="12"/>
                <w:color w:val="auto"/>
              </w:rPr>
            </w:pPr>
          </w:p>
        </w:tc>
      </w:tr>
      <w:tr>
        <w:trPr>
          <w:trHeight w:val="144"/>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Strike price, in USD (weighted average)</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3.88</w:t>
            </w:r>
          </w:p>
        </w:tc>
        <w:tc>
          <w:tcPr>
            <w:tcW w:w="1340" w:type="dxa"/>
            <w:vAlign w:val="bottom"/>
            <w:gridSpan w:val="2"/>
          </w:tcPr>
          <w:p>
            <w:pPr>
              <w:jc w:val="center"/>
              <w:ind w:left="280"/>
              <w:spacing w:after="0"/>
              <w:rPr>
                <w:sz w:val="20"/>
                <w:szCs w:val="20"/>
                <w:color w:val="auto"/>
              </w:rPr>
            </w:pPr>
            <w:r>
              <w:rPr>
                <w:rFonts w:ascii="Times New Roman" w:cs="Times New Roman" w:eastAsia="Times New Roman" w:hAnsi="Times New Roman"/>
                <w:sz w:val="12"/>
                <w:szCs w:val="12"/>
                <w:color w:val="auto"/>
                <w:w w:val="95"/>
              </w:rPr>
              <w:t>7.12</w:t>
            </w:r>
          </w:p>
        </w:tc>
        <w:tc>
          <w:tcPr>
            <w:tcW w:w="120" w:type="dxa"/>
            <w:vAlign w:val="bottom"/>
          </w:tcPr>
          <w:p>
            <w:pPr>
              <w:spacing w:after="0"/>
              <w:rPr>
                <w:sz w:val="12"/>
                <w:szCs w:val="12"/>
                <w:color w:val="auto"/>
              </w:rPr>
            </w:pPr>
          </w:p>
        </w:tc>
      </w:tr>
      <w:tr>
        <w:trPr>
          <w:trHeight w:val="144"/>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Expected volatility</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w:t>
            </w: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- 88%</w:t>
            </w:r>
          </w:p>
        </w:tc>
        <w:tc>
          <w:tcPr>
            <w:tcW w:w="1340" w:type="dxa"/>
            <w:vAlign w:val="bottom"/>
            <w:gridSpan w:val="2"/>
            <w:shd w:val="clear" w:color="auto" w:fill="CCEEFF"/>
          </w:tcPr>
          <w:p>
            <w:pPr>
              <w:jc w:val="center"/>
              <w:ind w:left="260"/>
              <w:spacing w:after="0"/>
              <w:rPr>
                <w:sz w:val="20"/>
                <w:szCs w:val="20"/>
                <w:color w:val="auto"/>
              </w:rPr>
            </w:pPr>
            <w:r>
              <w:rPr>
                <w:rFonts w:ascii="Times New Roman" w:cs="Times New Roman" w:eastAsia="Times New Roman" w:hAnsi="Times New Roman"/>
                <w:sz w:val="12"/>
                <w:szCs w:val="12"/>
                <w:color w:val="auto"/>
                <w:w w:val="99"/>
              </w:rPr>
              <w:t>83% - 90%</w:t>
            </w:r>
          </w:p>
        </w:tc>
        <w:tc>
          <w:tcPr>
            <w:tcW w:w="120" w:type="dxa"/>
            <w:vAlign w:val="bottom"/>
            <w:shd w:val="clear" w:color="auto" w:fill="CCEEFF"/>
          </w:tcPr>
          <w:p>
            <w:pPr>
              <w:spacing w:after="0"/>
              <w:rPr>
                <w:sz w:val="12"/>
                <w:szCs w:val="12"/>
                <w:color w:val="auto"/>
              </w:rPr>
            </w:pPr>
          </w:p>
        </w:tc>
      </w:tr>
      <w:tr>
        <w:trPr>
          <w:trHeight w:val="144"/>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Award life (weighted average)</w:t>
            </w: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5.6</w:t>
            </w:r>
          </w:p>
        </w:tc>
        <w:tc>
          <w:tcPr>
            <w:tcW w:w="1340" w:type="dxa"/>
            <w:vAlign w:val="bottom"/>
            <w:gridSpan w:val="2"/>
          </w:tcPr>
          <w:p>
            <w:pPr>
              <w:jc w:val="center"/>
              <w:ind w:left="280"/>
              <w:spacing w:after="0"/>
              <w:rPr>
                <w:sz w:val="20"/>
                <w:szCs w:val="20"/>
                <w:color w:val="auto"/>
              </w:rPr>
            </w:pPr>
            <w:r>
              <w:rPr>
                <w:rFonts w:ascii="Times New Roman" w:cs="Times New Roman" w:eastAsia="Times New Roman" w:hAnsi="Times New Roman"/>
                <w:sz w:val="12"/>
                <w:szCs w:val="12"/>
                <w:color w:val="auto"/>
              </w:rPr>
              <w:t>5.9</w:t>
            </w:r>
          </w:p>
        </w:tc>
        <w:tc>
          <w:tcPr>
            <w:tcW w:w="120" w:type="dxa"/>
            <w:vAlign w:val="bottom"/>
          </w:tcPr>
          <w:p>
            <w:pPr>
              <w:spacing w:after="0"/>
              <w:rPr>
                <w:sz w:val="12"/>
                <w:szCs w:val="12"/>
                <w:color w:val="auto"/>
              </w:rPr>
            </w:pPr>
          </w:p>
        </w:tc>
      </w:tr>
      <w:tr>
        <w:trPr>
          <w:trHeight w:val="144"/>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Expected dividends</w:t>
            </w:r>
          </w:p>
        </w:tc>
        <w:tc>
          <w:tcPr>
            <w:tcW w:w="600" w:type="dxa"/>
            <w:vAlign w:val="bottom"/>
            <w:shd w:val="clear" w:color="auto" w:fill="CCEEFF"/>
          </w:tcPr>
          <w:p>
            <w:pPr>
              <w:spacing w:after="0"/>
              <w:rPr>
                <w:sz w:val="12"/>
                <w:szCs w:val="12"/>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gridSpan w:val="2"/>
            <w:shd w:val="clear" w:color="auto" w:fill="CCEEFF"/>
          </w:tcPr>
          <w:p>
            <w:pPr>
              <w:jc w:val="center"/>
              <w:ind w:left="280"/>
              <w:spacing w:after="0"/>
              <w:rPr>
                <w:sz w:val="20"/>
                <w:szCs w:val="20"/>
                <w:color w:val="auto"/>
              </w:rPr>
            </w:pPr>
            <w:r>
              <w:rPr>
                <w:rFonts w:ascii="Times New Roman" w:cs="Times New Roman" w:eastAsia="Times New Roman" w:hAnsi="Times New Roman"/>
                <w:sz w:val="12"/>
                <w:szCs w:val="12"/>
                <w:color w:val="auto"/>
                <w:w w:val="98"/>
              </w:rPr>
              <w:t>-</w:t>
            </w:r>
          </w:p>
        </w:tc>
        <w:tc>
          <w:tcPr>
            <w:tcW w:w="120" w:type="dxa"/>
            <w:vAlign w:val="bottom"/>
            <w:shd w:val="clear" w:color="auto" w:fill="CCEEFF"/>
          </w:tcPr>
          <w:p>
            <w:pPr>
              <w:spacing w:after="0"/>
              <w:rPr>
                <w:sz w:val="12"/>
                <w:szCs w:val="12"/>
                <w:color w:val="auto"/>
              </w:rPr>
            </w:pPr>
          </w:p>
        </w:tc>
      </w:tr>
      <w:tr>
        <w:trPr>
          <w:trHeight w:val="155"/>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Risk-free interest rate</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3.79%</w:t>
            </w:r>
          </w:p>
        </w:tc>
        <w:tc>
          <w:tcPr>
            <w:tcW w:w="5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- 3.97%</w:t>
            </w:r>
          </w:p>
        </w:tc>
        <w:tc>
          <w:tcPr>
            <w:tcW w:w="1340" w:type="dxa"/>
            <w:vAlign w:val="bottom"/>
            <w:gridSpan w:val="2"/>
          </w:tcPr>
          <w:p>
            <w:pPr>
              <w:jc w:val="center"/>
              <w:ind w:left="280"/>
              <w:spacing w:after="0"/>
              <w:rPr>
                <w:sz w:val="20"/>
                <w:szCs w:val="20"/>
                <w:color w:val="auto"/>
              </w:rPr>
            </w:pPr>
            <w:r>
              <w:rPr>
                <w:rFonts w:ascii="Times New Roman" w:cs="Times New Roman" w:eastAsia="Times New Roman" w:hAnsi="Times New Roman"/>
                <w:sz w:val="12"/>
                <w:szCs w:val="12"/>
                <w:color w:val="auto"/>
                <w:w w:val="99"/>
              </w:rPr>
              <w:t>4.02% - 4.47%</w:t>
            </w:r>
          </w:p>
        </w:tc>
        <w:tc>
          <w:tcPr>
            <w:tcW w:w="120" w:type="dxa"/>
            <w:vAlign w:val="bottom"/>
          </w:tcPr>
          <w:p>
            <w:pPr>
              <w:spacing w:after="0"/>
              <w:rPr>
                <w:sz w:val="13"/>
                <w:szCs w:val="13"/>
                <w:color w:val="auto"/>
              </w:rPr>
            </w:pPr>
          </w:p>
        </w:tc>
      </w:tr>
    </w:tbl>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expected volatility for the three months ended March 31, 2026, is based on a blended rate of historical volatility observed among other comparable public companies and the Company’s own historical volatility.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award life is based on the time interval between the date of grant and the date during the life of the share option after which, when making the grant, the Company expected on average that participants would exercise their options.</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As of March 31, 2026, Other Reserves within equity includes $14.8 million (December 31, 2025: $13.1 million) relating to the Group’s Share Option Plan. Balances which relate to forfeited awards which had previously vested or awards which have been exercised are transferred from Other Reserves to Accumulated Deficit. The amount of expense for all awards recognized for services received during the three months ended March 31, 2026, was $1.8 million (three months ended March 31, 2025: $1.6 million).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14. Related party disclosures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There have been no transactions in the three months ended March 31, 2026, (2025: none) with related parties that had a material effect on the financial position or performance of the Group.</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15. Loss per share</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73"/>
        </w:trPr>
        <w:tc>
          <w:tcPr>
            <w:tcW w:w="8700" w:type="dxa"/>
            <w:vAlign w:val="bottom"/>
          </w:tcPr>
          <w:p>
            <w:pPr>
              <w:spacing w:after="0"/>
              <w:rPr>
                <w:sz w:val="23"/>
                <w:szCs w:val="23"/>
                <w:color w:val="auto"/>
              </w:rPr>
            </w:pPr>
          </w:p>
        </w:tc>
        <w:tc>
          <w:tcPr>
            <w:tcW w:w="1780" w:type="dxa"/>
            <w:vAlign w:val="bottom"/>
            <w:gridSpan w:val="3"/>
          </w:tcPr>
          <w:p>
            <w:pPr>
              <w:jc w:val="center"/>
              <w:ind w:left="66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59"/>
        </w:trPr>
        <w:tc>
          <w:tcPr>
            <w:tcW w:w="8700" w:type="dxa"/>
            <w:vAlign w:val="bottom"/>
          </w:tcPr>
          <w:p>
            <w:pPr>
              <w:spacing w:after="0"/>
              <w:rPr>
                <w:sz w:val="13"/>
                <w:szCs w:val="13"/>
                <w:color w:val="auto"/>
              </w:rPr>
            </w:pPr>
          </w:p>
        </w:tc>
        <w:tc>
          <w:tcPr>
            <w:tcW w:w="1780" w:type="dxa"/>
            <w:vAlign w:val="bottom"/>
            <w:tcBorders>
              <w:bottom w:val="single" w:sz="8" w:color="auto"/>
            </w:tcBorders>
            <w:gridSpan w:val="3"/>
          </w:tcPr>
          <w:p>
            <w:pPr>
              <w:jc w:val="center"/>
              <w:ind w:left="640"/>
              <w:spacing w:after="0"/>
              <w:rPr>
                <w:sz w:val="20"/>
                <w:szCs w:val="20"/>
                <w:color w:val="auto"/>
              </w:rPr>
            </w:pPr>
            <w:r>
              <w:rPr>
                <w:rFonts w:ascii="Times New Roman" w:cs="Times New Roman" w:eastAsia="Times New Roman" w:hAnsi="Times New Roman"/>
                <w:sz w:val="12"/>
                <w:szCs w:val="12"/>
                <w:b w:val="1"/>
                <w:bCs w:val="1"/>
                <w:color w:val="auto"/>
                <w:w w:val="98"/>
              </w:rPr>
              <w:t>March 31,</w:t>
            </w:r>
          </w:p>
        </w:tc>
        <w:tc>
          <w:tcPr>
            <w:tcW w:w="7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8700" w:type="dxa"/>
            <w:vAlign w:val="bottom"/>
          </w:tcPr>
          <w:p>
            <w:pPr>
              <w:spacing w:after="0"/>
              <w:rPr>
                <w:sz w:val="12"/>
                <w:szCs w:val="12"/>
                <w:color w:val="auto"/>
              </w:rPr>
            </w:pPr>
          </w:p>
        </w:tc>
        <w:tc>
          <w:tcPr>
            <w:tcW w:w="11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2026</w:t>
            </w:r>
          </w:p>
        </w:tc>
        <w:tc>
          <w:tcPr>
            <w:tcW w:w="2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120" w:type="dxa"/>
            <w:vAlign w:val="bottom"/>
          </w:tcPr>
          <w:p>
            <w:pPr>
              <w:spacing w:after="0"/>
              <w:rPr>
                <w:sz w:val="12"/>
                <w:szCs w:val="12"/>
                <w:color w:val="auto"/>
              </w:rPr>
            </w:pPr>
          </w:p>
        </w:tc>
      </w:tr>
      <w:tr>
        <w:trPr>
          <w:trHeight w:val="14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attributable to shareholders (in $’000)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(18,967)</w:t>
            </w: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(10,812)</w:t>
            </w:r>
          </w:p>
        </w:tc>
        <w:tc>
          <w:tcPr>
            <w:tcW w:w="120" w:type="dxa"/>
            <w:vAlign w:val="bottom"/>
            <w:shd w:val="clear" w:color="auto" w:fill="CCEEFF"/>
          </w:tcPr>
          <w:p>
            <w:pPr>
              <w:spacing w:after="0"/>
              <w:rPr>
                <w:sz w:val="12"/>
                <w:szCs w:val="12"/>
                <w:color w:val="auto"/>
              </w:rPr>
            </w:pPr>
          </w:p>
        </w:tc>
      </w:tr>
      <w:tr>
        <w:trPr>
          <w:trHeight w:val="144"/>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Weighted average number of shares in issue</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62,034,031</w:t>
            </w: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58,028,145</w:t>
            </w:r>
          </w:p>
        </w:tc>
      </w:tr>
      <w:tr>
        <w:trPr>
          <w:trHeight w:val="144"/>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 and diluted loss per share (in USD)</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(0.31)</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(0.19)</w:t>
            </w:r>
          </w:p>
        </w:tc>
      </w:tr>
    </w:tbl>
    <w:p>
      <w:pPr>
        <w:spacing w:after="0" w:line="13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For the three months ended March 31, 2026, and 2025, basic and diluted loss per share are calculated on the weighted average number of shares issued and outstanding and exclude shares to be issued under the Share Option Plan, as the effect of including those shares would be anti-dilutive.</w:t>
      </w: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wp:posOffset>
            </wp:positionV>
            <wp:extent cx="7178040" cy="11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58"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6677660</wp:posOffset>
            </wp:positionH>
            <wp:positionV relativeFrom="page">
              <wp:posOffset>88900</wp:posOffset>
            </wp:positionV>
            <wp:extent cx="685800" cy="2114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685800" cy="211455"/>
                    </a:xfrm>
                    <a:prstGeom prst="rect">
                      <a:avLst/>
                    </a:prstGeom>
                    <a:noFill/>
                  </pic:spPr>
                </pic:pic>
              </a:graphicData>
            </a:graphic>
          </wp:anchor>
        </w:drawing>
        <w:t>GH RESEARCH PLC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NOTES TO THE UNAUDITED CONDENSED CONSOLIDATED INTERIM FINANCIAL STATEMENTS (continued)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16. Events after the reporting date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April 2026, the Group received estimated net cash proceeds of $111.2 million from an underwritten offering of ordinary shares.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There were no other events after the reporting date requiring disclosure in the Group’s consolidated financial statements.</w:t>
      </w:r>
    </w:p>
    <w:p>
      <w:pPr>
        <w:spacing w:after="0" w:line="1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53340</wp:posOffset>
            </wp:positionV>
            <wp:extent cx="7178040" cy="11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58" w:right="29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22860"/>
                    </a:xfrm>
                    <a:prstGeom prst="rect">
                      <a:avLst/>
                    </a:prstGeom>
                    <a:noFill/>
                  </pic:spPr>
                </pic:pic>
              </a:graphicData>
            </a:graphic>
          </wp:anchor>
        </w:drawing>
        <w:t>Exhibit 99.2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MANAGEMENT’S DISCUSSION AND ANALYSIS OF FINANCIAL CONDITION AND RESULTS OF OPERATIONS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This management’s discussion and analysis is designed to provide you with a narrative explanation of our financial condition and results of operations. You should read this discussion and analysis in conjunction with our unaudited condensed consolidated interim financial statements, including the notes thereto, as of and for the three months ended March 31, 2026. You should also read this discussion and analysis in conjunction with our audited consolidated financial statements, including the notes thereto, and the section in our annual report on Form 20-F for the year ended December 31, 2025, titled “Item 3. Key Information—D. Risk Factors.”</w:t>
      </w:r>
    </w:p>
    <w:p>
      <w:pPr>
        <w:spacing w:after="0" w:line="119"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Our unaudited condensed consolidated interim financial statements for the three months ended March 31, 2026, were prepared in accordance with International Accounting Standard 34, Interim Financial Reporting. The terms “dollar,” “USD” or “$” refer to U.S. dollars. We have made rounding adjustments to some of the figures included in this discussion. Accordingly, any numerical discrepancies in any table between totals and sums of the amounts listed are due to rounding.</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Unless otherwise indicated or the context otherwise requires, all references in this discussion and analysis to “GH Research” or “GH,” the “Company,” “we,” “our,” “ours,” “us” or similar terms refer to GH Research PLC and its consolidated subsidiary.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are a clinical-stage biopharmaceutical company dedicated to transforming the lives of patients by developing a practice-changing treatment in depression. Our initial focus is on developing our novel and proprietary mebufotenin therapies for the treatment of patients with treatment-resistant depression, or TRD.</w:t>
      </w:r>
    </w:p>
    <w:p>
      <w:pPr>
        <w:spacing w:after="0" w:line="1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Our portfolio currently includes GH001, our proprietary inhalable mebufotenin product candidate, and GH002, our proprietary intravenous mebufotenin product candidate. While GH001 is currently delivered via a vaporization device produced by a third party, we are developing a proprietary aerosol delivery device, which is currently in clinical investigation in Europe. We have completed two Phase 1 healthy volunteer clinical trials for GH001 (GH001-HV-101 and GH001-HV-103), in which administration of GH001 via inhalation was observed to be well tolerated at the investigated single dose levels and in an individualized dosing regimen, or IDR, with intra-subject dose escalation within a single day. We have also completed a Phase 1/2 clinical trial in patients with TRD (GH001-TRD-102) and a multi-center randomized, double-blind, placebo-controlled Phase 2b trial with an Open-Label Extension of GH001 in patients with TRD (GH001-TRD-201). Based on observed clinical activity in these clinical trials, we believe that administration of GH001 has the potential to induce ultra-rapid remissions as measured by the Montgomery–Åsberg Depression Rating Scale, or MADRS, in TRD patients.</w:t>
      </w:r>
    </w:p>
    <w:p>
      <w:pPr>
        <w:spacing w:after="0" w:line="1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We have incurred losses since inception, including losses of $19.0 million for the three months ended March 31, 2026, and losses of $48.3 million and $39.0 million for the years ended December 31, 2025 and 2024, respectively. As of March 31, 2026, we had an accumulated deficit of $173.2 million. We expect to incur significant expenses and operating losses for the foreseeable future as we expand our research and development activities. In addition, our losses from operations may fluctuate significantly from quarter-to-quarter and year-to-year, depending on the timing of our clinical trials, our expenditures on other research and development activities, and based on foreign currency translation differences. We anticipate that our expenses will increase significantly in connection with our ongoing activities, if and as we:</w:t>
      </w:r>
    </w:p>
    <w:p>
      <w:pPr>
        <w:spacing w:after="0" w:line="122" w:lineRule="exact"/>
        <w:rPr>
          <w:sz w:val="20"/>
          <w:szCs w:val="20"/>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continue to develop and conduct clinical trials, including in expanded geographies such as the United States, for our GH001 and GH002 product candidates for our initial indications and any additional indications;</w:t>
      </w:r>
    </w:p>
    <w:p>
      <w:pPr>
        <w:spacing w:after="0" w:line="16" w:lineRule="exact"/>
        <w:rPr>
          <w:rFonts w:ascii="Times New Roman" w:cs="Times New Roman" w:eastAsia="Times New Roman" w:hAnsi="Times New Roman"/>
          <w:sz w:val="12"/>
          <w:szCs w:val="12"/>
          <w:color w:val="auto"/>
        </w:rPr>
      </w:pPr>
    </w:p>
    <w:p>
      <w:pPr>
        <w:ind w:left="420" w:hanging="212"/>
        <w:spacing w:after="0" w:line="250" w:lineRule="auto"/>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continue both the technical development and expansion of our external manufacturing capabilities for our current product candidates GH001 and GH002, and of the medical devices required to deliver these product candidates, such as our proprietary aerosol delivery device for GH001;</w:t>
      </w: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initiate and continue research and development, including technical, nonclinical, clinical, and discovery efforts for any future product candidates;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seek to identify additional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169545</wp:posOffset>
            </wp:positionV>
            <wp:extent cx="7178040" cy="11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24" w:right="299" w:bottom="1440" w:gutter="0" w:footer="0" w:header="0"/>
        </w:sectPr>
      </w:pPr>
    </w:p>
    <w:bookmarkStart w:id="18" w:name="page19"/>
    <w:bookmarkEnd w:id="18"/>
    <w:p>
      <w:pPr>
        <w:ind w:left="420" w:right="20" w:hanging="212"/>
        <w:spacing w:after="0" w:line="259" w:lineRule="auto"/>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seek regulatory approvals for our product candidates GH001 and GH002 including the medical devices required to deliver these product candidates, such as our proprietary aerosol delivery device for GH001, or any other product candidates that successfully complete clinical development;</w:t>
      </w:r>
    </w:p>
    <w:p>
      <w:pPr>
        <w:spacing w:after="0" w:line="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add operational, financial and management information systems and personnel, including personnel to support our product candidate and device development and help us comply with our obligations as a public company;</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hire and retain additional personnel, such as clinical, quality control, scientific, commercial, sales, marketing and administrative personnel;</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continue to prepare, file, prosecute, maintain, protect and enforce our intellectual property rights and claims;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establish sales, marketing, distribution, manufacturing, supply chain and other commercial infrastructure in the future to commercialize various products for which we may obtain regulatory approval;</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comply with ongoing regulatory requirements for products approved for commercial sale, if ever;</w:t>
      </w:r>
    </w:p>
    <w:p>
      <w:pPr>
        <w:spacing w:after="0" w:line="6" w:lineRule="exact"/>
        <w:rPr>
          <w:rFonts w:ascii="Times New Roman" w:cs="Times New Roman" w:eastAsia="Times New Roman" w:hAnsi="Times New Roman"/>
          <w:sz w:val="12"/>
          <w:szCs w:val="12"/>
          <w:color w:val="auto"/>
        </w:rPr>
      </w:pPr>
    </w:p>
    <w:p>
      <w:pPr>
        <w:jc w:val="both"/>
        <w:ind w:left="420" w:hanging="212"/>
        <w:spacing w:after="0" w:line="250" w:lineRule="auto"/>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adapt to ongoing changes in global economic conditions, including but not limited to continuing inflation, imposition of tariffs and trade barriers, interest rates and foreign currency exchange rates, disruptions in global supply chains and labor markets and geopolitical risks and global hostilities, including any direct or indirect economic impacts resulting from conflicts in Eastern Europe and the Middle East, tariff and trade wars, or increased tensions between China and Taiwan;</w:t>
      </w: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acquire or in-license other product candidates, medical devices to deliver our product candidates, and other technologies; and</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incur increased costs as a result of operating as a public company.</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In addition, as we progress toward marketing approval for any of our product candidates, we also expect to incur significant commercialization expenses related to product manufacturing, marketing, sales, and distribution. 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including potential collaborations with other companies or other strategic transactions. We cannot be certain that additional funding will be available on acceptable terms, or at all. If we fail to raise capital or enter into such agreements as and when needed we may have to significantly delay, scale back, or discontinue the development and commercialization of one or more of our product candidates or other research and development initiatives, which could have a material adverse effect on our business, results of operations, and financial condition. We will need to generate significant revenue to achieve profitability, and we may never do so.</w:t>
      </w:r>
    </w:p>
    <w:p>
      <w:pPr>
        <w:spacing w:after="0" w:line="1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are subject to a number of risks comparable to those of other similar companies, including dependence on key individuals; the need to develop product candidates with the required safety and efficacy profile and which support regulatory approval and are commercially viable; competition from other companies, many of which are larger and better capitalized; and the need to obtain adequate additional financing to fund the development of our product candidates.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Business Updates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Scientific Presentations and Publications</w:t>
      </w:r>
    </w:p>
    <w:p>
      <w:pPr>
        <w:spacing w:after="0" w:line="15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In March 2026, the results of our Phase 2b trial in TRD (GH001-TRD-201) were published in JAMA Psychiatry. A post-hoc analysis reported alongside the publication demonstrated efficacy independent of the number of prior antidepressant treatment failures, with Day 8 remission rates of 53.9%-63.6% across subgroups.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January 2026, data from our clinical trials in TRD and bipolar II depression were presented in three posters at the 64th Annual Meeting of the American College of Neuropsychopharmacology (ACNP).</w:t>
      </w:r>
    </w:p>
    <w:p>
      <w:pPr>
        <w:spacing w:after="0" w:line="15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An additional three posters have been accepted to the American Society of Clinical Psychopharmacology (ASCP) Annual Meeting 2026 in Miami (May 26–29), featuring data from our Phase 2b trial in TRD (GH001-TRD-201), including the post-hoc analysis of efficacy by prior antidepressant failure, secondary endpoints covering anxiety and quality of life, and impact on anhedonia.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178040" cy="11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2"/>
          <w:szCs w:val="12"/>
          <w:i w:val="1"/>
          <w:iCs w:val="1"/>
          <w:color w:val="auto"/>
        </w:rPr>
        <w:t>Proprietary Aerosol Delivery Device Study and Dose Selection</w:t>
      </w:r>
    </w:p>
    <w:p>
      <w:pPr>
        <w:spacing w:after="0" w:line="15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We have completed enrolment in our Phase 1 clinical pharmacology trial in the UK, evaluating our proprietary aerosol delivery device for administration of GH001 in healthy volunteers (GH001-HV-106). We have selected the doses for our global Phase 3 pivotal program based on the results from this trial.</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IND-Opening Study for GH001 in the United States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have completed enrolment in our IND-opening Phase 1 trial of GH001 in healthy volunteers (GH001-HV-109) in the United States.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Global Pivotal Program Plans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are seeking FDA alignment on the global Phase 3 pivotal program, which is intended to replicate the Phase 2b design. We continue to target initiation of our global pivotal program in late 2026.</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Comparison of the Three months ended March 31, 2026 and 2025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summarizes our results of operations for the three months ended March 31, 2026 and 2025:</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9"/>
        </w:trPr>
        <w:tc>
          <w:tcPr>
            <w:tcW w:w="734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8"/>
              </w:rPr>
              <w:t>March 31,</w:t>
            </w: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7340" w:type="dxa"/>
            <w:vAlign w:val="bottom"/>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2026</w:t>
            </w:r>
          </w:p>
        </w:tc>
        <w:tc>
          <w:tcPr>
            <w:tcW w:w="4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20" w:type="dxa"/>
            <w:vAlign w:val="bottom"/>
          </w:tcPr>
          <w:p>
            <w:pPr>
              <w:spacing w:after="0"/>
              <w:rPr>
                <w:sz w:val="12"/>
                <w:szCs w:val="12"/>
                <w:color w:val="auto"/>
              </w:rPr>
            </w:pPr>
          </w:p>
        </w:tc>
        <w:tc>
          <w:tcPr>
            <w:tcW w:w="11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120" w:type="dxa"/>
            <w:vAlign w:val="bottom"/>
          </w:tcPr>
          <w:p>
            <w:pPr>
              <w:spacing w:after="0"/>
              <w:rPr>
                <w:sz w:val="12"/>
                <w:szCs w:val="12"/>
                <w:color w:val="auto"/>
              </w:rPr>
            </w:pPr>
          </w:p>
        </w:tc>
      </w:tr>
      <w:tr>
        <w:trPr>
          <w:trHeight w:val="142"/>
        </w:trPr>
        <w:tc>
          <w:tcPr>
            <w:tcW w:w="7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(in USD thousands)</w:t>
            </w: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Research and development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(12,379)</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(7,852)</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(4,527)</w:t>
            </w:r>
          </w:p>
        </w:tc>
      </w:tr>
      <w:tr>
        <w:trPr>
          <w:trHeight w:val="14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7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(6,370)</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(4,880)</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(1,490)</w:t>
            </w:r>
          </w:p>
        </w:tc>
      </w:tr>
      <w:tr>
        <w:trPr>
          <w:trHeight w:val="20"/>
        </w:trPr>
        <w:tc>
          <w:tcPr>
            <w:tcW w:w="73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7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Loss from operations</w:t>
            </w:r>
          </w:p>
        </w:tc>
        <w:tc>
          <w:tcPr>
            <w:tcW w:w="74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(18,749)</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(12,732)</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(6,017)</w:t>
            </w:r>
          </w:p>
        </w:tc>
      </w:tr>
      <w:tr>
        <w:trPr>
          <w:trHeight w:val="144"/>
        </w:trPr>
        <w:tc>
          <w:tcPr>
            <w:tcW w:w="808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0"/>
                <w:szCs w:val="10"/>
                <w:color w:val="auto"/>
              </w:rPr>
              <w:t>Net finance income</w:t>
            </w:r>
            <w:r>
              <w:rPr>
                <w:rFonts w:ascii="Times New Roman" w:cs="Times New Roman" w:eastAsia="Times New Roman" w:hAnsi="Times New Roman"/>
                <w:sz w:val="16"/>
                <w:szCs w:val="16"/>
                <w:color w:val="auto"/>
                <w:vertAlign w:val="superscript"/>
              </w:rPr>
              <w:t>1</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2,111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2,562</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(451)</w:t>
            </w:r>
          </w:p>
        </w:tc>
      </w:tr>
      <w:tr>
        <w:trPr>
          <w:trHeight w:val="144"/>
        </w:trPr>
        <w:tc>
          <w:tcPr>
            <w:tcW w:w="8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Foreign exchange loss</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(2,329)</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(642)</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(1,687)</w:t>
            </w:r>
          </w:p>
        </w:tc>
      </w:tr>
      <w:tr>
        <w:trPr>
          <w:trHeight w:val="182"/>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Loss for the period</w:t>
            </w:r>
          </w:p>
        </w:tc>
        <w:tc>
          <w:tcPr>
            <w:tcW w:w="740" w:type="dxa"/>
            <w:vAlign w:val="bottom"/>
            <w:tcBorders>
              <w:top w:val="single" w:sz="8" w:color="auto"/>
              <w:bottom w:val="single" w:sz="8" w:color="auto"/>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2"/>
              </w:rPr>
              <w:t>(18,967)</w:t>
            </w:r>
          </w:p>
        </w:tc>
        <w:tc>
          <w:tcPr>
            <w:tcW w:w="2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(10,812)</w:t>
            </w:r>
          </w:p>
        </w:tc>
        <w:tc>
          <w:tcPr>
            <w:tcW w:w="2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(8,155)</w:t>
            </w: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Net finance income for the three months ended March 31, 2026 and 2025, comprises finance income, finance expense and expected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135890</wp:posOffset>
            </wp:positionV>
            <wp:extent cx="7178040" cy="11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2"/>
          <w:szCs w:val="12"/>
          <w:i w:val="1"/>
          <w:iCs w:val="1"/>
          <w:color w:val="auto"/>
        </w:rPr>
        <w:t>Research and Development Expenses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summarizes our research and development expenses for the three months ended March 31, 2026 and 2025:</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9"/>
        </w:trPr>
        <w:tc>
          <w:tcPr>
            <w:tcW w:w="734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8"/>
              </w:rPr>
              <w:t>March 31,</w:t>
            </w: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7340" w:type="dxa"/>
            <w:vAlign w:val="bottom"/>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2026</w:t>
            </w:r>
          </w:p>
        </w:tc>
        <w:tc>
          <w:tcPr>
            <w:tcW w:w="4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20" w:type="dxa"/>
            <w:vAlign w:val="bottom"/>
          </w:tcPr>
          <w:p>
            <w:pPr>
              <w:spacing w:after="0"/>
              <w:rPr>
                <w:sz w:val="12"/>
                <w:szCs w:val="12"/>
                <w:color w:val="auto"/>
              </w:rPr>
            </w:pPr>
          </w:p>
        </w:tc>
        <w:tc>
          <w:tcPr>
            <w:tcW w:w="11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120" w:type="dxa"/>
            <w:vAlign w:val="bottom"/>
          </w:tcPr>
          <w:p>
            <w:pPr>
              <w:spacing w:after="0"/>
              <w:rPr>
                <w:sz w:val="12"/>
                <w:szCs w:val="12"/>
                <w:color w:val="auto"/>
              </w:rPr>
            </w:pPr>
          </w:p>
        </w:tc>
      </w:tr>
      <w:tr>
        <w:trPr>
          <w:trHeight w:val="142"/>
        </w:trPr>
        <w:tc>
          <w:tcPr>
            <w:tcW w:w="7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(in USD thousands)</w:t>
            </w: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08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0"/>
                <w:szCs w:val="10"/>
                <w:color w:val="auto"/>
              </w:rPr>
              <w:t>External research and development expenses</w:t>
            </w:r>
            <w:r>
              <w:rPr>
                <w:rFonts w:ascii="Times New Roman" w:cs="Times New Roman" w:eastAsia="Times New Roman" w:hAnsi="Times New Roman"/>
                <w:sz w:val="16"/>
                <w:szCs w:val="16"/>
                <w:color w:val="auto"/>
                <w:vertAlign w:val="superscript"/>
              </w:rPr>
              <w:t>1</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(8,545)</w:t>
            </w:r>
          </w:p>
        </w:tc>
        <w:tc>
          <w:tcPr>
            <w:tcW w:w="13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2"/>
                <w:szCs w:val="12"/>
                <w:color w:val="auto"/>
              </w:rPr>
              <w:t>(5,467)</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(3,078)</w:t>
            </w:r>
          </w:p>
        </w:tc>
      </w:tr>
      <w:tr>
        <w:trPr>
          <w:trHeight w:val="144"/>
        </w:trPr>
        <w:tc>
          <w:tcPr>
            <w:tcW w:w="8080" w:type="dxa"/>
            <w:vAlign w:val="bottom"/>
            <w:gridSpan w:val="2"/>
          </w:tcPr>
          <w:p>
            <w:pPr>
              <w:spacing w:after="0" w:line="144" w:lineRule="exact"/>
              <w:rPr>
                <w:sz w:val="20"/>
                <w:szCs w:val="20"/>
                <w:color w:val="auto"/>
              </w:rPr>
            </w:pPr>
            <w:r>
              <w:rPr>
                <w:rFonts w:ascii="Times New Roman" w:cs="Times New Roman" w:eastAsia="Times New Roman" w:hAnsi="Times New Roman"/>
                <w:sz w:val="10"/>
                <w:szCs w:val="10"/>
                <w:color w:val="auto"/>
              </w:rPr>
              <w:t>Employee expenses</w:t>
            </w:r>
            <w:r>
              <w:rPr>
                <w:rFonts w:ascii="Times New Roman" w:cs="Times New Roman" w:eastAsia="Times New Roman" w:hAnsi="Times New Roman"/>
                <w:sz w:val="16"/>
                <w:szCs w:val="16"/>
                <w:color w:val="auto"/>
                <w:vertAlign w:val="superscript"/>
              </w:rPr>
              <w:t>2</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(3,834)</w:t>
            </w:r>
          </w:p>
        </w:tc>
        <w:tc>
          <w:tcPr>
            <w:tcW w:w="1340" w:type="dxa"/>
            <w:vAlign w:val="bottom"/>
            <w:gridSpan w:val="2"/>
          </w:tcPr>
          <w:p>
            <w:pPr>
              <w:ind w:left="820"/>
              <w:spacing w:after="0"/>
              <w:rPr>
                <w:sz w:val="20"/>
                <w:szCs w:val="20"/>
                <w:color w:val="auto"/>
              </w:rPr>
            </w:pPr>
            <w:r>
              <w:rPr>
                <w:rFonts w:ascii="Times New Roman" w:cs="Times New Roman" w:eastAsia="Times New Roman" w:hAnsi="Times New Roman"/>
                <w:sz w:val="12"/>
                <w:szCs w:val="12"/>
                <w:color w:val="auto"/>
              </w:rPr>
              <w:t>(2,385)</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(1,449)</w:t>
            </w:r>
          </w:p>
        </w:tc>
      </w:tr>
      <w:tr>
        <w:trPr>
          <w:trHeight w:val="182"/>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Research and development</w:t>
            </w:r>
          </w:p>
        </w:tc>
        <w:tc>
          <w:tcPr>
            <w:tcW w:w="740" w:type="dxa"/>
            <w:vAlign w:val="bottom"/>
            <w:tcBorders>
              <w:top w:val="single" w:sz="8" w:color="auto"/>
              <w:bottom w:val="single" w:sz="8" w:color="auto"/>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2"/>
              </w:rPr>
              <w:t>(12,379)</w:t>
            </w:r>
          </w:p>
        </w:tc>
        <w:tc>
          <w:tcPr>
            <w:tcW w:w="2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2"/>
                <w:szCs w:val="12"/>
                <w:b w:val="1"/>
                <w:bCs w:val="1"/>
                <w:color w:val="auto"/>
                <w:w w:val="79"/>
              </w:rPr>
              <w:t>(7,852)</w:t>
            </w:r>
          </w:p>
        </w:tc>
        <w:tc>
          <w:tcPr>
            <w:tcW w:w="2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(4,527)</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201"/>
        </w:trPr>
        <w:tc>
          <w:tcPr>
            <w:tcW w:w="8080" w:type="dxa"/>
            <w:vAlign w:val="bottom"/>
            <w:gridSpan w:val="2"/>
          </w:tcPr>
          <w:p>
            <w:pPr>
              <w:spacing w:after="0" w:line="201" w:lineRule="exact"/>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xml:space="preserve"> Includes depreciation expense.</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3"/>
        </w:trPr>
        <w:tc>
          <w:tcPr>
            <w:tcW w:w="8080" w:type="dxa"/>
            <w:vAlign w:val="bottom"/>
            <w:gridSpan w:val="2"/>
          </w:tcPr>
          <w:p>
            <w:pPr>
              <w:spacing w:after="0"/>
              <w:rPr>
                <w:sz w:val="20"/>
                <w:szCs w:val="20"/>
                <w:color w:val="auto"/>
              </w:rPr>
            </w:pP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2"/>
                <w:szCs w:val="12"/>
                <w:color w:val="auto"/>
              </w:rPr>
              <w:t xml:space="preserve"> Includes a share-based compensation expense of $0.9 million and $0.7 million for the three months ended March 31, 2026 and 2025, respectively.</w:t>
            </w: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187"/>
        </w:trPr>
        <w:tc>
          <w:tcPr>
            <w:tcW w:w="8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following table summarizes our research and development expenses for our product candidates for the three months ended March 31, 2026 and 2025:</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73"/>
        </w:trPr>
        <w:tc>
          <w:tcPr>
            <w:tcW w:w="73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59"/>
        </w:trPr>
        <w:tc>
          <w:tcPr>
            <w:tcW w:w="734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8"/>
              </w:rPr>
              <w:t>March 31,</w:t>
            </w: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7340" w:type="dxa"/>
            <w:vAlign w:val="bottom"/>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2026</w:t>
            </w:r>
          </w:p>
        </w:tc>
        <w:tc>
          <w:tcPr>
            <w:tcW w:w="4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20" w:type="dxa"/>
            <w:vAlign w:val="bottom"/>
          </w:tcPr>
          <w:p>
            <w:pPr>
              <w:spacing w:after="0"/>
              <w:rPr>
                <w:sz w:val="12"/>
                <w:szCs w:val="12"/>
                <w:color w:val="auto"/>
              </w:rPr>
            </w:pPr>
          </w:p>
        </w:tc>
        <w:tc>
          <w:tcPr>
            <w:tcW w:w="11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120" w:type="dxa"/>
            <w:vAlign w:val="bottom"/>
          </w:tcPr>
          <w:p>
            <w:pPr>
              <w:spacing w:after="0"/>
              <w:rPr>
                <w:sz w:val="12"/>
                <w:szCs w:val="12"/>
                <w:color w:val="auto"/>
              </w:rPr>
            </w:pPr>
          </w:p>
        </w:tc>
      </w:tr>
      <w:tr>
        <w:trPr>
          <w:trHeight w:val="142"/>
        </w:trPr>
        <w:tc>
          <w:tcPr>
            <w:tcW w:w="7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(in USD thousands)</w:t>
            </w: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GH001</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(8,217)</w:t>
            </w:r>
          </w:p>
        </w:tc>
        <w:tc>
          <w:tcPr>
            <w:tcW w:w="13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2"/>
                <w:szCs w:val="12"/>
                <w:color w:val="auto"/>
              </w:rPr>
              <w:t>(4,940)</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(3,277)</w:t>
            </w:r>
          </w:p>
        </w:tc>
      </w:tr>
      <w:tr>
        <w:trPr>
          <w:trHeight w:val="144"/>
        </w:trPr>
        <w:tc>
          <w:tcPr>
            <w:tcW w:w="8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GH002</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(239)</w:t>
            </w:r>
          </w:p>
        </w:tc>
        <w:tc>
          <w:tcPr>
            <w:tcW w:w="1340" w:type="dxa"/>
            <w:vAlign w:val="bottom"/>
            <w:gridSpan w:val="2"/>
          </w:tcPr>
          <w:p>
            <w:pPr>
              <w:ind w:left="820"/>
              <w:spacing w:after="0"/>
              <w:rPr>
                <w:sz w:val="20"/>
                <w:szCs w:val="20"/>
                <w:color w:val="auto"/>
              </w:rPr>
            </w:pPr>
            <w:r>
              <w:rPr>
                <w:rFonts w:ascii="Times New Roman" w:cs="Times New Roman" w:eastAsia="Times New Roman" w:hAnsi="Times New Roman"/>
                <w:sz w:val="12"/>
                <w:szCs w:val="12"/>
                <w:color w:val="auto"/>
              </w:rPr>
              <w:t>(1,105)</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866</w:t>
            </w:r>
          </w:p>
        </w:tc>
      </w:tr>
      <w:tr>
        <w:trPr>
          <w:trHeight w:val="14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Related to multiple product candidates and exploratory work for potential future product candidates</w:t>
            </w:r>
          </w:p>
        </w:tc>
        <w:tc>
          <w:tcPr>
            <w:tcW w:w="7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(3,923)</w:t>
            </w:r>
          </w:p>
        </w:tc>
        <w:tc>
          <w:tcPr>
            <w:tcW w:w="13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2"/>
                <w:szCs w:val="12"/>
                <w:color w:val="auto"/>
              </w:rPr>
              <w:t>(1,807)</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(2,116)</w:t>
            </w:r>
          </w:p>
        </w:tc>
      </w:tr>
      <w:tr>
        <w:trPr>
          <w:trHeight w:val="20"/>
        </w:trPr>
        <w:tc>
          <w:tcPr>
            <w:tcW w:w="73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7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Research and development</w:t>
            </w:r>
          </w:p>
        </w:tc>
        <w:tc>
          <w:tcPr>
            <w:tcW w:w="74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(12,379)</w:t>
            </w:r>
          </w:p>
        </w:tc>
        <w:tc>
          <w:tcPr>
            <w:tcW w:w="1340" w:type="dxa"/>
            <w:vAlign w:val="bottom"/>
            <w:gridSpan w:val="2"/>
          </w:tcPr>
          <w:p>
            <w:pPr>
              <w:ind w:left="820"/>
              <w:spacing w:after="0"/>
              <w:rPr>
                <w:sz w:val="20"/>
                <w:szCs w:val="20"/>
                <w:color w:val="auto"/>
              </w:rPr>
            </w:pPr>
            <w:r>
              <w:rPr>
                <w:rFonts w:ascii="Times New Roman" w:cs="Times New Roman" w:eastAsia="Times New Roman" w:hAnsi="Times New Roman"/>
                <w:sz w:val="12"/>
                <w:szCs w:val="12"/>
                <w:b w:val="1"/>
                <w:bCs w:val="1"/>
                <w:color w:val="auto"/>
              </w:rPr>
              <w:t>(7,852)</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(4,527)</w:t>
            </w:r>
          </w:p>
        </w:tc>
      </w:tr>
      <w:tr>
        <w:trPr>
          <w:trHeight w:val="20"/>
        </w:trPr>
        <w:tc>
          <w:tcPr>
            <w:tcW w:w="7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Research and development expenses increased by $4.5 million to $12.4 million for the three months ended March 31, 2026, from $7.9 million for the three months ended March 31, 2025. The increase is primarily due to increased expenses relating to our technical development and clinical development expenses, including clinical trial expenses, as well as employee expenses. These increases have been partly offset by a decrease in nonclinical expenses.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Research and development expenses for our product candidates will fluctuate from period to period primarily due to the nature and timing associated with the various lifecycle stages of each candidate.</w:t>
      </w:r>
    </w:p>
    <w:p>
      <w:pPr>
        <w:spacing w:after="0" w:line="15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Research and development expenses relating to GH001 increased by $3.3 million in the three months ended March 31, 2026. The increase is primarily due to increased expenses relating to our technical development and clinical development expenses, including clinical trial expenses, partly offset by a decrease in nonclinical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178040" cy="11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2"/>
          <w:szCs w:val="12"/>
          <w:color w:val="auto"/>
        </w:rPr>
        <w:t>Research and development expenses relating to GH002 decreased by $0.9 million in the three months ended March 31, 2026, primarily due to a decrease in nonclinical expenses.</w:t>
      </w:r>
    </w:p>
    <w:p>
      <w:pPr>
        <w:spacing w:after="0" w:line="150" w:lineRule="exact"/>
        <w:rPr>
          <w:sz w:val="20"/>
          <w:szCs w:val="20"/>
          <w:color w:val="auto"/>
        </w:rPr>
      </w:pPr>
    </w:p>
    <w:p>
      <w:pPr>
        <w:ind w:right="300"/>
        <w:spacing w:after="0" w:line="500" w:lineRule="auto"/>
        <w:rPr>
          <w:sz w:val="20"/>
          <w:szCs w:val="20"/>
          <w:color w:val="auto"/>
        </w:rPr>
      </w:pPr>
      <w:r>
        <w:rPr>
          <w:rFonts w:ascii="Times New Roman" w:cs="Times New Roman" w:eastAsia="Times New Roman" w:hAnsi="Times New Roman"/>
          <w:sz w:val="12"/>
          <w:szCs w:val="12"/>
          <w:color w:val="auto"/>
        </w:rPr>
        <w:t xml:space="preserve">Research and development expenses relating to multiple product candidates increased by $2.1 million in the three months ended March 31, 2026, primarily due to an increase in nonclinical expenses, as well as employee expenses. </w:t>
      </w:r>
      <w:r>
        <w:rPr>
          <w:rFonts w:ascii="Times New Roman" w:cs="Times New Roman" w:eastAsia="Times New Roman" w:hAnsi="Times New Roman"/>
          <w:sz w:val="12"/>
          <w:szCs w:val="12"/>
          <w:i w:val="1"/>
          <w:iCs w:val="1"/>
          <w:color w:val="auto"/>
        </w:rPr>
        <w:t>General and Administrative Expenses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summarizes our general and administrative expenses for the three months ended March 31, 2026 and 2025:</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9"/>
        </w:trPr>
        <w:tc>
          <w:tcPr>
            <w:tcW w:w="60" w:type="dxa"/>
            <w:vAlign w:val="bottom"/>
          </w:tcPr>
          <w:p>
            <w:pPr>
              <w:spacing w:after="0"/>
              <w:rPr>
                <w:sz w:val="13"/>
                <w:szCs w:val="13"/>
                <w:color w:val="auto"/>
              </w:rPr>
            </w:pPr>
          </w:p>
        </w:tc>
        <w:tc>
          <w:tcPr>
            <w:tcW w:w="728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8"/>
              </w:rPr>
              <w:t>March 31,</w:t>
            </w: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6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2026</w:t>
            </w:r>
          </w:p>
        </w:tc>
        <w:tc>
          <w:tcPr>
            <w:tcW w:w="3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20" w:type="dxa"/>
            <w:vAlign w:val="bottom"/>
          </w:tcPr>
          <w:p>
            <w:pPr>
              <w:spacing w:after="0"/>
              <w:rPr>
                <w:sz w:val="12"/>
                <w:szCs w:val="12"/>
                <w:color w:val="auto"/>
              </w:rPr>
            </w:pPr>
          </w:p>
        </w:tc>
        <w:tc>
          <w:tcPr>
            <w:tcW w:w="11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120" w:type="dxa"/>
            <w:vAlign w:val="bottom"/>
          </w:tcPr>
          <w:p>
            <w:pPr>
              <w:spacing w:after="0"/>
              <w:rPr>
                <w:sz w:val="12"/>
                <w:szCs w:val="12"/>
                <w:color w:val="auto"/>
              </w:rPr>
            </w:pPr>
          </w:p>
        </w:tc>
      </w:tr>
      <w:tr>
        <w:trPr>
          <w:trHeight w:val="142"/>
        </w:trPr>
        <w:tc>
          <w:tcPr>
            <w:tcW w:w="6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(in USD thousands)</w:t>
            </w: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100" w:type="dxa"/>
            <w:vAlign w:val="bottom"/>
            <w:gridSpan w:val="3"/>
            <w:shd w:val="clear" w:color="auto" w:fill="CCEEFF"/>
          </w:tcPr>
          <w:p>
            <w:pPr>
              <w:spacing w:after="0" w:line="144" w:lineRule="exact"/>
              <w:rPr>
                <w:sz w:val="20"/>
                <w:szCs w:val="20"/>
                <w:color w:val="auto"/>
              </w:rPr>
            </w:pPr>
            <w:r>
              <w:rPr>
                <w:rFonts w:ascii="Times New Roman" w:cs="Times New Roman" w:eastAsia="Times New Roman" w:hAnsi="Times New Roman"/>
                <w:sz w:val="10"/>
                <w:szCs w:val="10"/>
                <w:color w:val="auto"/>
              </w:rPr>
              <w:t>External costs</w:t>
            </w:r>
            <w:r>
              <w:rPr>
                <w:rFonts w:ascii="Times New Roman" w:cs="Times New Roman" w:eastAsia="Times New Roman" w:hAnsi="Times New Roman"/>
                <w:sz w:val="16"/>
                <w:szCs w:val="16"/>
                <w:color w:val="auto"/>
                <w:vertAlign w:val="superscript"/>
              </w:rPr>
              <w:t>1</w:t>
            </w:r>
          </w:p>
        </w:tc>
        <w:tc>
          <w:tcPr>
            <w:tcW w:w="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(4,264)</w:t>
            </w:r>
          </w:p>
        </w:tc>
        <w:tc>
          <w:tcPr>
            <w:tcW w:w="13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2"/>
                <w:szCs w:val="12"/>
                <w:color w:val="auto"/>
              </w:rPr>
              <w:t>(2,939)</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(1,325)</w:t>
            </w:r>
          </w:p>
        </w:tc>
      </w:tr>
      <w:tr>
        <w:trPr>
          <w:trHeight w:val="144"/>
        </w:trPr>
        <w:tc>
          <w:tcPr>
            <w:tcW w:w="8100" w:type="dxa"/>
            <w:vAlign w:val="bottom"/>
            <w:gridSpan w:val="3"/>
          </w:tcPr>
          <w:p>
            <w:pPr>
              <w:spacing w:after="0" w:line="144" w:lineRule="exact"/>
              <w:rPr>
                <w:sz w:val="20"/>
                <w:szCs w:val="20"/>
                <w:color w:val="auto"/>
              </w:rPr>
            </w:pPr>
            <w:r>
              <w:rPr>
                <w:rFonts w:ascii="Times New Roman" w:cs="Times New Roman" w:eastAsia="Times New Roman" w:hAnsi="Times New Roman"/>
                <w:sz w:val="10"/>
                <w:szCs w:val="10"/>
                <w:color w:val="auto"/>
              </w:rPr>
              <w:t>Employee expenses</w:t>
            </w:r>
            <w:r>
              <w:rPr>
                <w:rFonts w:ascii="Times New Roman" w:cs="Times New Roman" w:eastAsia="Times New Roman" w:hAnsi="Times New Roman"/>
                <w:sz w:val="16"/>
                <w:szCs w:val="16"/>
                <w:color w:val="auto"/>
                <w:vertAlign w:val="superscript"/>
              </w:rPr>
              <w:t>2</w:t>
            </w: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(2,106)</w:t>
            </w:r>
          </w:p>
        </w:tc>
        <w:tc>
          <w:tcPr>
            <w:tcW w:w="1340" w:type="dxa"/>
            <w:vAlign w:val="bottom"/>
            <w:gridSpan w:val="2"/>
          </w:tcPr>
          <w:p>
            <w:pPr>
              <w:ind w:left="820"/>
              <w:spacing w:after="0"/>
              <w:rPr>
                <w:sz w:val="20"/>
                <w:szCs w:val="20"/>
                <w:color w:val="auto"/>
              </w:rPr>
            </w:pPr>
            <w:r>
              <w:rPr>
                <w:rFonts w:ascii="Times New Roman" w:cs="Times New Roman" w:eastAsia="Times New Roman" w:hAnsi="Times New Roman"/>
                <w:sz w:val="12"/>
                <w:szCs w:val="12"/>
                <w:color w:val="auto"/>
              </w:rPr>
              <w:t>(1,941)</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(165)</w:t>
            </w:r>
          </w:p>
        </w:tc>
      </w:tr>
      <w:tr>
        <w:trPr>
          <w:trHeight w:val="182"/>
        </w:trPr>
        <w:tc>
          <w:tcPr>
            <w:tcW w:w="7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General and administrative</w:t>
            </w:r>
          </w:p>
        </w:tc>
        <w:tc>
          <w:tcPr>
            <w:tcW w:w="760" w:type="dxa"/>
            <w:vAlign w:val="bottom"/>
            <w:tcBorders>
              <w:top w:val="single" w:sz="8" w:color="auto"/>
              <w:bottom w:val="single" w:sz="8" w:color="auto"/>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2"/>
                <w:szCs w:val="12"/>
                <w:b w:val="1"/>
                <w:bCs w:val="1"/>
                <w:color w:val="auto"/>
                <w:w w:val="79"/>
              </w:rPr>
              <w:t>(6,370)</w:t>
            </w:r>
          </w:p>
        </w:tc>
        <w:tc>
          <w:tcPr>
            <w:tcW w:w="2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2"/>
                <w:szCs w:val="12"/>
                <w:b w:val="1"/>
                <w:bCs w:val="1"/>
                <w:color w:val="auto"/>
                <w:w w:val="79"/>
              </w:rPr>
              <w:t>(4,880)</w:t>
            </w:r>
          </w:p>
        </w:tc>
        <w:tc>
          <w:tcPr>
            <w:tcW w:w="2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(1,490)</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165"/>
        </w:trPr>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1</w:t>
            </w:r>
          </w:p>
        </w:tc>
        <w:tc>
          <w:tcPr>
            <w:tcW w:w="80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Includes depreciation expense.</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8"/>
        </w:trPr>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2</w:t>
            </w:r>
          </w:p>
        </w:tc>
        <w:tc>
          <w:tcPr>
            <w:tcW w:w="80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Includes a share-based compensation expense of $0.9 million and $0.9 million for the three months ended March 31, 2026 and 2025, respectively.</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1"/>
        </w:trPr>
        <w:tc>
          <w:tcPr>
            <w:tcW w:w="60" w:type="dxa"/>
            <w:vAlign w:val="bottom"/>
            <w:tcBorders>
              <w:bottom w:val="single" w:sz="8" w:color="auto"/>
            </w:tcBorders>
          </w:tcPr>
          <w:p>
            <w:pPr>
              <w:spacing w:after="0"/>
              <w:rPr>
                <w:sz w:val="22"/>
                <w:szCs w:val="22"/>
                <w:color w:val="auto"/>
              </w:rPr>
            </w:pPr>
          </w:p>
        </w:tc>
        <w:tc>
          <w:tcPr>
            <w:tcW w:w="7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r>
    </w:tbl>
    <w:p>
      <w:pPr>
        <w:sectPr>
          <w:pgSz w:w="11900" w:h="16838" w:orient="portrait"/>
          <w:cols w:equalWidth="0" w:num="1">
            <w:col w:w="11300"/>
          </w:cols>
          <w:pgMar w:left="300" w:top="129" w:right="299" w:bottom="1440" w:gutter="0" w:footer="0" w:header="0"/>
        </w:sectPr>
      </w:pPr>
    </w:p>
    <w:bookmarkStart w:id="22" w:name="page23"/>
    <w:bookmarkEnd w:id="22"/>
    <w:p>
      <w:pPr>
        <w:jc w:val="both"/>
        <w:spacing w:after="0" w:line="279" w:lineRule="auto"/>
        <w:rPr>
          <w:sz w:val="20"/>
          <w:szCs w:val="20"/>
          <w:color w:val="auto"/>
        </w:rPr>
      </w:pPr>
      <w:r>
        <w:rPr>
          <w:rFonts w:ascii="Times New Roman" w:cs="Times New Roman" w:eastAsia="Times New Roman" w:hAnsi="Times New Roman"/>
          <w:sz w:val="12"/>
          <w:szCs w:val="12"/>
          <w:color w:val="auto"/>
        </w:rPr>
        <w:t>General and administrative expenses increased by $1.5 million to $6.4 million for the three months ended March 31, 2026, from $4.9 million for the three months ended March 31, 2025. The increase is primarily due to an increase in professional fees in our general and administrative functions to support our growth initiatives.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Net Finance Income</w:t>
      </w:r>
    </w:p>
    <w:p>
      <w:pPr>
        <w:spacing w:after="0" w:line="15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Net finance income decreased by $0.5 million to $2.1 million for the three months ended March 31, 2026, from $2.6 million for the three months ended March 31, 2025. The decrease is primarily due to a decrease in finance income relating to return on investments.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Foreign Exchange Loss</w:t>
      </w:r>
    </w:p>
    <w:p>
      <w:pPr>
        <w:spacing w:after="0" w:line="15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Foreign exchange loss is $2.3 million for the three months ended March 31, 2026, a movement of $1.7 million from a loss of $0.6 million for the three months ended March 31, 2025. This movement is primarily as a result of the translation of our assets and liabilities from their denominated currencies into the functional currency of each entity.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Sources of Liquidity</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We have incurred operating losses since inception, and we have not generated any revenue from any product sales or any other sources. We have not yet commercialized any of our product candidates, which are in various phases of technical and clinical development, and we do not expect to generate revenue from sales of any products for several years, if at all. Until such time as we can generate significant revenue from product sales, if ever, we expect to finance our operations through the sale of equity, debt financings or other capital sources, including potential collaborations with other companies or other strategic transactions. We have funded our operations to date primarily through equity financings, including our initial public offering. As of March 31, 2026, we had cash, cash equivalents and marketable securities of $267.3 million, compared to $280.7 million as of December 31, 2025. In April 2026, we completed an underwritten offering of ordinary shares. The net proceeds of the offering were estimated to be $111.2 million, after deducting underwriting discounts and offering expenses payable.</w:t>
      </w:r>
    </w:p>
    <w:p>
      <w:pPr>
        <w:spacing w:after="0" w:line="12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plan to continue to fund our operating and capital funding needs through sales of additional equity or other forms of financing. We may also consider pursuing strategic partnerships for clinical development and commercialization of our product candidates. The sale of additional equity would result in dilution to our shareholders.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Cash Flows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provides information regarding our cash flows for the three months ended March 31, 2026 and 2025:</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9"/>
        </w:trPr>
        <w:tc>
          <w:tcPr>
            <w:tcW w:w="734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8"/>
              </w:rPr>
              <w:t>March 31,</w:t>
            </w: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7340" w:type="dxa"/>
            <w:vAlign w:val="bottom"/>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2026</w:t>
            </w:r>
          </w:p>
        </w:tc>
        <w:tc>
          <w:tcPr>
            <w:tcW w:w="4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20" w:type="dxa"/>
            <w:vAlign w:val="bottom"/>
          </w:tcPr>
          <w:p>
            <w:pPr>
              <w:spacing w:after="0"/>
              <w:rPr>
                <w:sz w:val="12"/>
                <w:szCs w:val="12"/>
                <w:color w:val="auto"/>
              </w:rPr>
            </w:pPr>
          </w:p>
        </w:tc>
        <w:tc>
          <w:tcPr>
            <w:tcW w:w="11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120" w:type="dxa"/>
            <w:vAlign w:val="bottom"/>
          </w:tcPr>
          <w:p>
            <w:pPr>
              <w:spacing w:after="0"/>
              <w:rPr>
                <w:sz w:val="12"/>
                <w:szCs w:val="12"/>
                <w:color w:val="auto"/>
              </w:rPr>
            </w:pPr>
          </w:p>
        </w:tc>
      </w:tr>
      <w:tr>
        <w:trPr>
          <w:trHeight w:val="142"/>
        </w:trPr>
        <w:tc>
          <w:tcPr>
            <w:tcW w:w="7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(in USD thousands)</w:t>
            </w: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flows used in operating activities</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(10,669)</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(8,573)</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(2,096)</w:t>
            </w:r>
          </w:p>
        </w:tc>
      </w:tr>
      <w:tr>
        <w:trPr>
          <w:trHeight w:val="144"/>
        </w:trPr>
        <w:tc>
          <w:tcPr>
            <w:tcW w:w="8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cash flows from investing activities</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8,637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11,838</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(3,201)</w:t>
            </w:r>
          </w:p>
        </w:tc>
      </w:tr>
      <w:tr>
        <w:trPr>
          <w:trHeight w:val="14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flows from financing activities</w:t>
            </w:r>
          </w:p>
        </w:tc>
        <w:tc>
          <w:tcPr>
            <w:tcW w:w="7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140,858</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(140,856)</w:t>
            </w:r>
          </w:p>
        </w:tc>
      </w:tr>
      <w:tr>
        <w:trPr>
          <w:trHeight w:val="20"/>
        </w:trPr>
        <w:tc>
          <w:tcPr>
            <w:tcW w:w="73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7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(decrease)/increase in cash and cash equivalents</w:t>
            </w:r>
          </w:p>
        </w:tc>
        <w:tc>
          <w:tcPr>
            <w:tcW w:w="740" w:type="dxa"/>
            <w:vAlign w:val="bottom"/>
          </w:tcPr>
          <w:p>
            <w:pPr>
              <w:spacing w:after="0"/>
              <w:rPr>
                <w:sz w:val="12"/>
                <w:szCs w:val="12"/>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(2,030)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144,123</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(146,153)</w:t>
            </w:r>
          </w:p>
        </w:tc>
      </w:tr>
      <w:tr>
        <w:trPr>
          <w:trHeight w:val="20"/>
        </w:trPr>
        <w:tc>
          <w:tcPr>
            <w:tcW w:w="7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7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r>
    </w:tbl>
    <w:p>
      <w:pPr>
        <w:sectPr>
          <w:pgSz w:w="11900" w:h="16838" w:orient="portrait"/>
          <w:cols w:equalWidth="0" w:num="1">
            <w:col w:w="11300"/>
          </w:cols>
          <w:pgMar w:left="300" w:top="129" w:right="2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2"/>
          <w:szCs w:val="12"/>
          <w:i w:val="1"/>
          <w:iCs w:val="1"/>
          <w:color w:val="auto"/>
        </w:rPr>
        <w:t>Net Cash Flows Used in Operating Activities</w:t>
      </w:r>
    </w:p>
    <w:p>
      <w:pPr>
        <w:spacing w:after="0" w:line="15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Net cash flows used in operating activities increased by $2.1 million to $10.7 million for the three months ended March 31, 2026, from $8.6 million for the three months ended March 31, 2025, due to an increase in loss from operations for the period and movement in working capital.</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Net Cash Flows From Investing Activities</w:t>
      </w:r>
    </w:p>
    <w:p>
      <w:pPr>
        <w:spacing w:after="0" w:line="15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Net cash flows from investing activities decreased by $3.2 million to $8.6 million for the three months ended March 31, 2026, from $11.8 million for the three months ended March 31, 2025, due to a decrease in the proceeds from the redemption of marketable securities and from the sale of other financial assets.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Net Cash Flows From Financing Activities</w:t>
      </w:r>
    </w:p>
    <w:p>
      <w:pPr>
        <w:spacing w:after="0" w:line="15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Net cash flows from financing activities decreased by $140.9 million in the three months ended March 31, 2026, from $140.9 million in the three months ended March 31, 2025. The decrease is due to the receipt of proceeds from the public offering which took place during the three months ended March 31, 2025.</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Funding Requirements</w:t>
      </w:r>
    </w:p>
    <w:p>
      <w:pPr>
        <w:spacing w:after="0" w:line="1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We expect our expenses to continue to increase substantially in connection with our ongoing research and development activities, particularly as we advance the technical development work, nonclinical studies and clinical trials of our product candidates and the medical devices required to deliver such product candidates. In addition, if we obtain regulatory approval for any of our product candidates, we expect to incur significant commercialization expenses related to sales, marketing, manufacturing and distribution. Furthermore, we have incurred and expect to continue to incur additional costs associated with operating as a public company. Until such time, if ever, as we can generate substantial product revenues, we expect to finance our cash needs through a combination of public or private equity offerings, debt financings, convertible debt financings, strategic collaborations and licensing arrangements.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Our future capital requirements will depend on many factors, which are outlined in our annual report on Form 20-F for the year ended December 31, 2025, and this discussion and analysis. We believe that we have sufficient financial resources available to cover our planned cash outflows for at least the next twelve months.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Critical Accounting Estimates</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There have been no material changes to the significant accounting policies and significant judgments and estimates from those referred to in the section in our annual report on Form 20-F for the year ended December 31, 2025, titled “Item 5. Operating and Financial Review and Prospects—E. Critical Accounting Estimates.”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Emerging Growth Company Status</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On April 5, 2012, the Jumpstart Our Business Startups Act of 2012 (“JOBS Act”) was enacted. As an emerging growth company, or EGC, we rely on exemptions and reduced reporting requirements under the JOBS Act including exemptions from (i) providing an auditor’s attestation report on our system of internal controls over financial reporting pursuant to Section 404(b) of the Sarbanes-Oxley Act and (ii) complying with any requirement that may be adopted by the Public Company Accounting Oversight Board, regarding mandatory audit firm rotation or a supplement to the auditor’s report providing additional information about the audit and the financial statements, known as the auditor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158750</wp:posOffset>
            </wp:positionV>
            <wp:extent cx="7178040" cy="11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24" w:name="page25"/>
    <w:bookmarkEnd w:id="24"/>
    <w:p>
      <w:pPr>
        <w:jc w:val="both"/>
        <w:spacing w:after="0" w:line="214" w:lineRule="auto"/>
        <w:rPr>
          <w:sz w:val="20"/>
          <w:szCs w:val="20"/>
          <w:color w:val="auto"/>
        </w:rPr>
      </w:pPr>
      <w:r>
        <w:rPr>
          <w:rFonts w:ascii="Times New Roman" w:cs="Times New Roman" w:eastAsia="Times New Roman" w:hAnsi="Times New Roman"/>
          <w:sz w:val="12"/>
          <w:szCs w:val="12"/>
          <w:color w:val="auto"/>
        </w:rPr>
        <w:t>We will remain classified as an EGC until the earlier of (1) the last day of the fiscal year (i) in which we have total annual gross revenue of $1.235 billion; (ii) following the fifth anniversary of the completion of our initial public offering; or (iii) in which we are deemed to be a “large accelerated filer,” which requires the market value of our ordinary shares that is held by non-affiliates to exceed $700 million as of the prior June 30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and (2) the date on which we have issued more than $1 billion in nonconvertible debt during the previous three-year period.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Recently Issued Accounting Pronouncements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As disclosed in note 2 to our unaudited condensed consolidated interim financial statements, there are no standards that are mandatory for the financial year beginning on January 1, 2026, that are relevant to, and have had any material impact on, our unaudited condensed consolidated interim financial statements. The review of the impact of new standards on our unaudited condensed consolidated interim financial statements, including IFRS 18 “Presentation and Disclosure in Financial Statements”, which is not yet effective, and which has not been early adopted by us, is ongoing.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 Factors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There have been no material changes in our risk factors since those reported in our Annual Report for the year ended December 31, 2025.</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Cautionary Statement Regarding Forward-Looking Statements</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This discussion contains statements that are, or may be deemed to be, forward-looking. All statements other than statements of historical fact included in this discussion, including statements regarding our future results of operations and financial position, business strategy, product candidates, medical devices required to deliver these product candidates, research pipeline, ongoing and currently planned preclinical studies and clinical trials, regulatory submissions and approvals, research and development costs, cash runway, timing and likelihood of success, as well as plans and objectives of management for future operations are forward-looking statements. Many of the forward-looking statements contained in this discussion can be identified by the use of forward-looking words such as “may,” “anticipate,” “believe,” “could,” “expect,” “should,” “plan,” “intend,” “estimate,” “will,” “potential” and “ongoing,” among others.</w:t>
      </w:r>
    </w:p>
    <w:p>
      <w:pPr>
        <w:spacing w:after="0" w:line="1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Forward-looking statements appear in a number of places in this discussion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titled “—Risk Factors” herein and the section in our annual report on Form 20-F for the year ended December 31, 2025, titled “Item 3. Key Information—D. Risk Factors.” These risks and uncertainties include, among others, factors relating to:</w:t>
      </w:r>
    </w:p>
    <w:p>
      <w:pPr>
        <w:spacing w:after="0" w:line="122" w:lineRule="exact"/>
        <w:rPr>
          <w:sz w:val="20"/>
          <w:szCs w:val="20"/>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commencement, timing, progress and results of our research and development programs, nonclinical studies and clinical trials;</w:t>
      </w:r>
    </w:p>
    <w:p>
      <w:pPr>
        <w:spacing w:after="0" w:line="16" w:lineRule="exact"/>
        <w:rPr>
          <w:rFonts w:ascii="Times New Roman" w:cs="Times New Roman" w:eastAsia="Times New Roman" w:hAnsi="Times New Roman"/>
          <w:sz w:val="12"/>
          <w:szCs w:val="12"/>
          <w:color w:val="auto"/>
        </w:rPr>
      </w:pPr>
    </w:p>
    <w:p>
      <w:pPr>
        <w:ind w:left="420" w:right="20" w:hanging="212"/>
        <w:spacing w:after="0" w:line="250" w:lineRule="auto"/>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timing, progress and results of developing and conducting clinical trials for our GH001 and GH002 product candidates and the medical devices required to deliver these product candidates, such as our proprietary aerosol delivery device for GH001, for our initial and any additional indications;</w:t>
      </w: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efforts to expand into other jurisdictions such as the United States and in Europe;</w:t>
      </w:r>
    </w:p>
    <w:p>
      <w:pPr>
        <w:spacing w:after="0" w:line="6" w:lineRule="exact"/>
        <w:rPr>
          <w:rFonts w:ascii="Times New Roman" w:cs="Times New Roman" w:eastAsia="Times New Roman" w:hAnsi="Times New Roman"/>
          <w:sz w:val="12"/>
          <w:szCs w:val="12"/>
          <w:color w:val="auto"/>
        </w:rPr>
      </w:pPr>
    </w:p>
    <w:p>
      <w:pPr>
        <w:ind w:left="420" w:hanging="212"/>
        <w:spacing w:after="0" w:line="250" w:lineRule="auto"/>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expectations related to the technical development and expansion of our external manufacturing capabilities for our GH001 and GH002 product candidates as well as the medical devices required to deliver these product candidates, such as our proprietary aerosol delivery device for GH001;</w:t>
      </w: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reliance on the success of our GH001 and GH002 product candidates;</w:t>
      </w:r>
    </w:p>
    <w:p>
      <w:pPr>
        <w:spacing w:after="0" w:line="6" w:lineRule="exact"/>
        <w:rPr>
          <w:rFonts w:ascii="Times New Roman" w:cs="Times New Roman" w:eastAsia="Times New Roman" w:hAnsi="Times New Roman"/>
          <w:sz w:val="12"/>
          <w:szCs w:val="12"/>
          <w:color w:val="auto"/>
        </w:rPr>
      </w:pPr>
    </w:p>
    <w:p>
      <w:pPr>
        <w:ind w:left="420" w:right="20" w:hanging="212"/>
        <w:spacing w:after="0" w:line="250" w:lineRule="auto"/>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timing, scope or likelihood of regulatory filings and approvals by the FDA, the EMA, or other comparable foreign regulatory authorities, for our GH001 and GH002 product candidates and our initial and any additional indications;</w:t>
      </w: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expectations regarding the size of the eligible patient populations for our GH001 and GH002 product candidates, if approved for commercial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169545</wp:posOffset>
            </wp:positionV>
            <wp:extent cx="7178040" cy="11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5" w:name="page26"/>
    <w:bookmarkEnd w:id="25"/>
    <w:p>
      <w:pPr>
        <w:ind w:left="212" w:hanging="212"/>
        <w:spacing w:after="0"/>
        <w:tabs>
          <w:tab w:leader="none" w:pos="212"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identify third-party clinical trial sites to conduct trials and our ability to identify and train appropriately qualified therapists to administer our investigational therapy;</w:t>
      </w:r>
    </w:p>
    <w:p>
      <w:pPr>
        <w:spacing w:after="0" w:line="16" w:lineRule="exact"/>
        <w:rPr>
          <w:rFonts w:ascii="Times New Roman" w:cs="Times New Roman" w:eastAsia="Times New Roman" w:hAnsi="Times New Roman"/>
          <w:sz w:val="12"/>
          <w:szCs w:val="12"/>
          <w:color w:val="auto"/>
        </w:rPr>
      </w:pPr>
    </w:p>
    <w:p>
      <w:pPr>
        <w:ind w:left="212" w:hanging="212"/>
        <w:spacing w:after="0" w:line="250" w:lineRule="auto"/>
        <w:tabs>
          <w:tab w:leader="none" w:pos="212"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effect of pandemics, such as the COVID-19 pandemic, epidemics, outbreaks of an infectious disease or similar events on aspects of our business or operations, including delays in the regulatory approval process, contracting with clinical trial sites and engaging in clinical trials;</w:t>
      </w:r>
    </w:p>
    <w:p>
      <w:pPr>
        <w:ind w:left="212" w:hanging="212"/>
        <w:spacing w:after="0"/>
        <w:tabs>
          <w:tab w:leader="none" w:pos="212"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implement our business model and our strategic plans for our business and GH001 and GH002 product candidates;</w:t>
      </w:r>
    </w:p>
    <w:p>
      <w:pPr>
        <w:spacing w:after="0" w:line="6" w:lineRule="exact"/>
        <w:rPr>
          <w:rFonts w:ascii="Times New Roman" w:cs="Times New Roman" w:eastAsia="Times New Roman" w:hAnsi="Times New Roman"/>
          <w:sz w:val="12"/>
          <w:szCs w:val="12"/>
          <w:color w:val="auto"/>
        </w:rPr>
      </w:pPr>
    </w:p>
    <w:p>
      <w:pPr>
        <w:ind w:left="212" w:hanging="212"/>
        <w:spacing w:after="0" w:line="250" w:lineRule="auto"/>
        <w:tabs>
          <w:tab w:leader="none" w:pos="212"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identify, develop or acquire and obtain approval by the FDA, EMA or other comparable foreign regulatory authorities of medical devices required to deliver our GH001 and GH002 product candidates, such as our proprietary aerosol delivery device for GH001;</w:t>
      </w:r>
    </w:p>
    <w:p>
      <w:pPr>
        <w:ind w:left="212" w:hanging="212"/>
        <w:spacing w:after="0"/>
        <w:tabs>
          <w:tab w:leader="none" w:pos="212"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commercialization and marketing capabilities and strategy;</w:t>
      </w:r>
    </w:p>
    <w:p>
      <w:pPr>
        <w:spacing w:after="0" w:line="6" w:lineRule="exact"/>
        <w:rPr>
          <w:rFonts w:ascii="Times New Roman" w:cs="Times New Roman" w:eastAsia="Times New Roman" w:hAnsi="Times New Roman"/>
          <w:sz w:val="12"/>
          <w:szCs w:val="12"/>
          <w:color w:val="auto"/>
        </w:rPr>
      </w:pPr>
    </w:p>
    <w:p>
      <w:pPr>
        <w:ind w:left="212" w:hanging="212"/>
        <w:spacing w:after="0"/>
        <w:tabs>
          <w:tab w:leader="none" w:pos="212"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effects of undesirable clinical trial outcomes and potential adverse public perception regarding the use of mebufotenin and psychedelics generally on the regulatory approval process and future development of our product;</w:t>
      </w:r>
    </w:p>
    <w:p>
      <w:pPr>
        <w:spacing w:after="0" w:line="6" w:lineRule="exact"/>
        <w:rPr>
          <w:rFonts w:ascii="Times New Roman" w:cs="Times New Roman" w:eastAsia="Times New Roman" w:hAnsi="Times New Roman"/>
          <w:sz w:val="12"/>
          <w:szCs w:val="12"/>
          <w:color w:val="auto"/>
        </w:rPr>
      </w:pPr>
    </w:p>
    <w:p>
      <w:pPr>
        <w:ind w:left="212" w:hanging="212"/>
        <w:spacing w:after="0"/>
        <w:tabs>
          <w:tab w:leader="none" w:pos="212"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pricing, coverage and reimbursement of our GH001 and GH002 product candidates, if approved;</w:t>
      </w:r>
    </w:p>
    <w:p>
      <w:pPr>
        <w:spacing w:after="0" w:line="6" w:lineRule="exact"/>
        <w:rPr>
          <w:rFonts w:ascii="Times New Roman" w:cs="Times New Roman" w:eastAsia="Times New Roman" w:hAnsi="Times New Roman"/>
          <w:sz w:val="12"/>
          <w:szCs w:val="12"/>
          <w:color w:val="auto"/>
        </w:rPr>
      </w:pPr>
    </w:p>
    <w:p>
      <w:pPr>
        <w:ind w:left="212" w:hanging="212"/>
        <w:spacing w:after="0"/>
        <w:tabs>
          <w:tab w:leader="none" w:pos="212"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scalability and commercial viability of our manufacturing methods and processes;</w:t>
      </w:r>
    </w:p>
    <w:p>
      <w:pPr>
        <w:spacing w:after="0" w:line="6" w:lineRule="exact"/>
        <w:rPr>
          <w:rFonts w:ascii="Times New Roman" w:cs="Times New Roman" w:eastAsia="Times New Roman" w:hAnsi="Times New Roman"/>
          <w:sz w:val="12"/>
          <w:szCs w:val="12"/>
          <w:color w:val="auto"/>
        </w:rPr>
      </w:pPr>
    </w:p>
    <w:p>
      <w:pPr>
        <w:ind w:left="212" w:hanging="212"/>
        <w:spacing w:after="0"/>
        <w:tabs>
          <w:tab w:leader="none" w:pos="212"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rate and degree of market acceptance and clinical utility of our GH001 and GH002 product candidates;</w:t>
      </w:r>
    </w:p>
    <w:p>
      <w:pPr>
        <w:spacing w:after="0" w:line="6" w:lineRule="exact"/>
        <w:rPr>
          <w:rFonts w:ascii="Times New Roman" w:cs="Times New Roman" w:eastAsia="Times New Roman" w:hAnsi="Times New Roman"/>
          <w:sz w:val="12"/>
          <w:szCs w:val="12"/>
          <w:color w:val="auto"/>
        </w:rPr>
      </w:pPr>
    </w:p>
    <w:p>
      <w:pPr>
        <w:ind w:left="212" w:hanging="212"/>
        <w:spacing w:after="0"/>
        <w:tabs>
          <w:tab w:leader="none" w:pos="212"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reliance on third-party suppliers for our nonclinical study and clinical trial drug substance and product candidate supplies, as well as key raw materials used in our manufacturing processes;</w:t>
      </w:r>
    </w:p>
    <w:p>
      <w:pPr>
        <w:spacing w:after="0" w:line="6" w:lineRule="exact"/>
        <w:rPr>
          <w:rFonts w:ascii="Times New Roman" w:cs="Times New Roman" w:eastAsia="Times New Roman" w:hAnsi="Times New Roman"/>
          <w:sz w:val="12"/>
          <w:szCs w:val="12"/>
          <w:color w:val="auto"/>
        </w:rPr>
      </w:pPr>
    </w:p>
    <w:p>
      <w:pPr>
        <w:ind w:left="212" w:hanging="212"/>
        <w:spacing w:after="0"/>
        <w:tabs>
          <w:tab w:leader="none" w:pos="212"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establish or maintain collaborations or strategic relationships or obtain additional funding;</w:t>
      </w:r>
    </w:p>
    <w:p>
      <w:pPr>
        <w:spacing w:after="0" w:line="6" w:lineRule="exact"/>
        <w:rPr>
          <w:rFonts w:ascii="Times New Roman" w:cs="Times New Roman" w:eastAsia="Times New Roman" w:hAnsi="Times New Roman"/>
          <w:sz w:val="12"/>
          <w:szCs w:val="12"/>
          <w:color w:val="auto"/>
        </w:rPr>
      </w:pPr>
    </w:p>
    <w:p>
      <w:pPr>
        <w:ind w:left="212" w:hanging="212"/>
        <w:spacing w:after="0"/>
        <w:tabs>
          <w:tab w:leader="none" w:pos="212"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expectations regarding potential benefits of our GH001 and GH002 product candidates and our approach generally;</w:t>
      </w:r>
    </w:p>
    <w:p>
      <w:pPr>
        <w:spacing w:after="0" w:line="6" w:lineRule="exact"/>
        <w:rPr>
          <w:rFonts w:ascii="Times New Roman" w:cs="Times New Roman" w:eastAsia="Times New Roman" w:hAnsi="Times New Roman"/>
          <w:sz w:val="12"/>
          <w:szCs w:val="12"/>
          <w:color w:val="auto"/>
        </w:rPr>
      </w:pPr>
    </w:p>
    <w:p>
      <w:pPr>
        <w:ind w:left="212" w:hanging="212"/>
        <w:spacing w:after="0"/>
        <w:tabs>
          <w:tab w:leader="none" w:pos="212"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expectations around regulatory development paths and with respect to Controlled Substances Act, or CSA, classification;</w:t>
      </w:r>
    </w:p>
    <w:p>
      <w:pPr>
        <w:spacing w:after="0" w:line="6" w:lineRule="exact"/>
        <w:rPr>
          <w:rFonts w:ascii="Times New Roman" w:cs="Times New Roman" w:eastAsia="Times New Roman" w:hAnsi="Times New Roman"/>
          <w:sz w:val="12"/>
          <w:szCs w:val="12"/>
          <w:color w:val="auto"/>
        </w:rPr>
      </w:pPr>
    </w:p>
    <w:p>
      <w:pPr>
        <w:ind w:left="212" w:hanging="212"/>
        <w:spacing w:after="0"/>
        <w:tabs>
          <w:tab w:leader="none" w:pos="212"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scope of protection we and any current or future licensors or collaboration partners are able to establish and maintain for intellectual property rights covering our GH001 and GH002 product candidates;</w:t>
      </w:r>
    </w:p>
    <w:p>
      <w:pPr>
        <w:spacing w:after="0" w:line="6" w:lineRule="exact"/>
        <w:rPr>
          <w:rFonts w:ascii="Times New Roman" w:cs="Times New Roman" w:eastAsia="Times New Roman" w:hAnsi="Times New Roman"/>
          <w:sz w:val="12"/>
          <w:szCs w:val="12"/>
          <w:color w:val="auto"/>
        </w:rPr>
      </w:pPr>
    </w:p>
    <w:p>
      <w:pPr>
        <w:ind w:left="212" w:hanging="212"/>
        <w:spacing w:after="0"/>
        <w:tabs>
          <w:tab w:leader="none" w:pos="212"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operate our business without infringing, misappropriating, or otherwise violating the intellectual property rights and proprietary technology of third parties;</w:t>
      </w:r>
    </w:p>
    <w:p>
      <w:pPr>
        <w:spacing w:after="0" w:line="6" w:lineRule="exact"/>
        <w:rPr>
          <w:rFonts w:ascii="Times New Roman" w:cs="Times New Roman" w:eastAsia="Times New Roman" w:hAnsi="Times New Roman"/>
          <w:sz w:val="12"/>
          <w:szCs w:val="12"/>
          <w:color w:val="auto"/>
        </w:rPr>
      </w:pPr>
    </w:p>
    <w:p>
      <w:pPr>
        <w:ind w:left="212" w:hanging="212"/>
        <w:spacing w:after="0"/>
        <w:tabs>
          <w:tab w:leader="none" w:pos="212"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protect our intellectual property rights, including enforcing and defending intellectual property-related claims;</w:t>
      </w:r>
    </w:p>
    <w:p>
      <w:pPr>
        <w:spacing w:after="0" w:line="6" w:lineRule="exact"/>
        <w:rPr>
          <w:rFonts w:ascii="Times New Roman" w:cs="Times New Roman" w:eastAsia="Times New Roman" w:hAnsi="Times New Roman"/>
          <w:sz w:val="12"/>
          <w:szCs w:val="12"/>
          <w:color w:val="auto"/>
        </w:rPr>
      </w:pPr>
    </w:p>
    <w:p>
      <w:pPr>
        <w:ind w:left="212" w:hanging="212"/>
        <w:spacing w:after="0"/>
        <w:tabs>
          <w:tab w:leader="none" w:pos="212"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developments in the United States, under the laws and regulations of the European Union and other jurisdictions;</w:t>
      </w:r>
    </w:p>
    <w:p>
      <w:pPr>
        <w:spacing w:after="0" w:line="6" w:lineRule="exact"/>
        <w:rPr>
          <w:rFonts w:ascii="Times New Roman" w:cs="Times New Roman" w:eastAsia="Times New Roman" w:hAnsi="Times New Roman"/>
          <w:sz w:val="12"/>
          <w:szCs w:val="12"/>
          <w:color w:val="auto"/>
        </w:rPr>
      </w:pPr>
    </w:p>
    <w:p>
      <w:pPr>
        <w:ind w:left="212" w:hanging="212"/>
        <w:spacing w:after="0" w:line="250" w:lineRule="auto"/>
        <w:tabs>
          <w:tab w:leader="none" w:pos="212"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continuing inflation, imposition of tariffs and trade barriers, interest rates and foreign currency exchange rates, disruptions in global supply chains and labor markets, and geopolitical risks and global hostilities, including any direct or indirect economic impacts resulting from conflict in Eastern Europe and the Middle East, tariff and trade wars, or increased tensions between China and Taiwan;</w:t>
      </w:r>
    </w:p>
    <w:p>
      <w:pPr>
        <w:ind w:left="212" w:hanging="212"/>
        <w:spacing w:after="0"/>
        <w:tabs>
          <w:tab w:leader="none" w:pos="212"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developments and projections relating to our competitors and our industry;</w:t>
      </w:r>
    </w:p>
    <w:p>
      <w:pPr>
        <w:spacing w:after="0" w:line="6" w:lineRule="exact"/>
        <w:rPr>
          <w:rFonts w:ascii="Times New Roman" w:cs="Times New Roman" w:eastAsia="Times New Roman" w:hAnsi="Times New Roman"/>
          <w:sz w:val="12"/>
          <w:szCs w:val="12"/>
          <w:color w:val="auto"/>
        </w:rPr>
      </w:pPr>
    </w:p>
    <w:p>
      <w:pPr>
        <w:ind w:left="212" w:hanging="212"/>
        <w:spacing w:after="0"/>
        <w:tabs>
          <w:tab w:leader="none" w:pos="212"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maintain an effective system of internal control over financial reporting;</w:t>
      </w:r>
    </w:p>
    <w:p>
      <w:pPr>
        <w:spacing w:after="0" w:line="6" w:lineRule="exact"/>
        <w:rPr>
          <w:rFonts w:ascii="Times New Roman" w:cs="Times New Roman" w:eastAsia="Times New Roman" w:hAnsi="Times New Roman"/>
          <w:sz w:val="12"/>
          <w:szCs w:val="12"/>
          <w:color w:val="auto"/>
        </w:rPr>
      </w:pPr>
    </w:p>
    <w:p>
      <w:pPr>
        <w:ind w:left="212" w:hanging="212"/>
        <w:spacing w:after="0"/>
        <w:tabs>
          <w:tab w:leader="none" w:pos="212"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of time that our existing cash, cash equivalents and marketable securities will be sufficient to fund our operations and capital expenditures;</w:t>
      </w:r>
    </w:p>
    <w:p>
      <w:pPr>
        <w:spacing w:after="0" w:line="6" w:lineRule="exact"/>
        <w:rPr>
          <w:rFonts w:ascii="Times New Roman" w:cs="Times New Roman" w:eastAsia="Times New Roman" w:hAnsi="Times New Roman"/>
          <w:sz w:val="12"/>
          <w:szCs w:val="12"/>
          <w:color w:val="auto"/>
        </w:rPr>
      </w:pPr>
    </w:p>
    <w:p>
      <w:pPr>
        <w:ind w:left="212" w:hanging="212"/>
        <w:spacing w:after="0"/>
        <w:tabs>
          <w:tab w:leader="none" w:pos="212"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estimates regarding expenses, capital requirements and needs for additional financing;</w:t>
      </w:r>
    </w:p>
    <w:p>
      <w:pPr>
        <w:spacing w:after="0" w:line="6" w:lineRule="exact"/>
        <w:rPr>
          <w:rFonts w:ascii="Times New Roman" w:cs="Times New Roman" w:eastAsia="Times New Roman" w:hAnsi="Times New Roman"/>
          <w:sz w:val="12"/>
          <w:szCs w:val="12"/>
          <w:color w:val="auto"/>
        </w:rPr>
      </w:pPr>
    </w:p>
    <w:p>
      <w:pPr>
        <w:ind w:left="212" w:hanging="212"/>
        <w:spacing w:after="0"/>
        <w:tabs>
          <w:tab w:leader="none" w:pos="212"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effectively manage our anticipated growth;</w:t>
      </w:r>
    </w:p>
    <w:p>
      <w:pPr>
        <w:spacing w:after="0" w:line="6" w:lineRule="exact"/>
        <w:rPr>
          <w:rFonts w:ascii="Times New Roman" w:cs="Times New Roman" w:eastAsia="Times New Roman" w:hAnsi="Times New Roman"/>
          <w:sz w:val="12"/>
          <w:szCs w:val="12"/>
          <w:color w:val="auto"/>
        </w:rPr>
      </w:pPr>
    </w:p>
    <w:p>
      <w:pPr>
        <w:ind w:left="212" w:hanging="212"/>
        <w:spacing w:after="0"/>
        <w:tabs>
          <w:tab w:leader="none" w:pos="212"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attract and retain qualified employees and key personnel;</w:t>
      </w:r>
    </w:p>
    <w:p>
      <w:pPr>
        <w:spacing w:after="0" w:line="6" w:lineRule="exact"/>
        <w:rPr>
          <w:rFonts w:ascii="Times New Roman" w:cs="Times New Roman" w:eastAsia="Times New Roman" w:hAnsi="Times New Roman"/>
          <w:sz w:val="12"/>
          <w:szCs w:val="12"/>
          <w:color w:val="auto"/>
        </w:rPr>
      </w:pPr>
    </w:p>
    <w:p>
      <w:pPr>
        <w:ind w:left="212" w:hanging="212"/>
        <w:spacing w:after="0"/>
        <w:tabs>
          <w:tab w:leader="none" w:pos="212"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we are classified as a passive foreign investment company for current and future periods;</w:t>
      </w:r>
    </w:p>
    <w:p>
      <w:pPr>
        <w:spacing w:after="0" w:line="6" w:lineRule="exact"/>
        <w:rPr>
          <w:rFonts w:ascii="Times New Roman" w:cs="Times New Roman" w:eastAsia="Times New Roman" w:hAnsi="Times New Roman"/>
          <w:sz w:val="12"/>
          <w:szCs w:val="12"/>
          <w:color w:val="auto"/>
        </w:rPr>
      </w:pPr>
    </w:p>
    <w:p>
      <w:pPr>
        <w:ind w:left="212" w:hanging="212"/>
        <w:spacing w:after="0"/>
        <w:tabs>
          <w:tab w:leader="none" w:pos="212"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expectations regarding the time during which we will be an EGC under the JOBS Act or the time during which we will be a foreign private issuer;</w:t>
      </w:r>
    </w:p>
    <w:p>
      <w:pPr>
        <w:spacing w:after="0" w:line="6" w:lineRule="exact"/>
        <w:rPr>
          <w:rFonts w:ascii="Times New Roman" w:cs="Times New Roman" w:eastAsia="Times New Roman" w:hAnsi="Times New Roman"/>
          <w:sz w:val="12"/>
          <w:szCs w:val="12"/>
          <w:color w:val="auto"/>
        </w:rPr>
      </w:pPr>
    </w:p>
    <w:p>
      <w:pPr>
        <w:ind w:left="212" w:hanging="212"/>
        <w:spacing w:after="0"/>
        <w:tabs>
          <w:tab w:leader="none" w:pos="212"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future trading price of the ordinary shares and impact of securities analysts’ reports on this price; and</w:t>
      </w:r>
    </w:p>
    <w:p>
      <w:pPr>
        <w:spacing w:after="0" w:line="6" w:lineRule="exact"/>
        <w:rPr>
          <w:rFonts w:ascii="Times New Roman" w:cs="Times New Roman" w:eastAsia="Times New Roman" w:hAnsi="Times New Roman"/>
          <w:sz w:val="12"/>
          <w:szCs w:val="12"/>
          <w:color w:val="auto"/>
        </w:rPr>
      </w:pPr>
    </w:p>
    <w:p>
      <w:pPr>
        <w:ind w:left="212" w:hanging="212"/>
        <w:spacing w:after="0"/>
        <w:tabs>
          <w:tab w:leader="none" w:pos="212"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risks and uncertainties, including those listed under “—Risk Factors” herein and “Item 3. Key Information—D. Risk Factors” in our annual report on Form 20-F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169545</wp:posOffset>
            </wp:positionV>
            <wp:extent cx="7178040" cy="11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092"/>
          </w:cols>
          <w:pgMar w:left="508" w:top="129" w:right="299" w:bottom="1440" w:gutter="0" w:footer="0" w:header="0"/>
        </w:sectPr>
      </w:pPr>
    </w:p>
    <w:bookmarkStart w:id="26" w:name="page27"/>
    <w:bookmarkEnd w:id="26"/>
    <w:p>
      <w:pPr>
        <w:jc w:val="both"/>
        <w:spacing w:after="0" w:line="256" w:lineRule="auto"/>
        <w:rPr>
          <w:sz w:val="20"/>
          <w:szCs w:val="20"/>
          <w:color w:val="auto"/>
        </w:rPr>
      </w:pPr>
      <w:r>
        <w:rPr>
          <w:rFonts w:ascii="Times New Roman" w:cs="Times New Roman" w:eastAsia="Times New Roman" w:hAnsi="Times New Roman"/>
          <w:sz w:val="12"/>
          <w:szCs w:val="12"/>
          <w:color w:val="auto"/>
        </w:rPr>
        <w:t>These forward-looking statements speak only as of the date of this discussion and are subject to a number of risks, uncertainties and assumptions described under the section titled “—Risk Factors” herein and the sections in our annual report on Form 20-F for the year ended December 31, 2025, titled “Item 3. Key Information—D. Risk Factors” and “Item 5. Operating and Financial Review and Prospects” and elsewhere in our annual report and this discussion.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1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addition, statements that “we believe” and similar statements reflect our beliefs and opinions on the relevant subject. These statements are based upon information available to us as of the date of this discussion,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213995</wp:posOffset>
            </wp:positionV>
            <wp:extent cx="7178040" cy="11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22860"/>
                    </a:xfrm>
                    <a:prstGeom prst="rect">
                      <a:avLst/>
                    </a:prstGeom>
                    <a:noFill/>
                  </pic:spPr>
                </pic:pic>
              </a:graphicData>
            </a:graphic>
          </wp:anchor>
        </w:drawing>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1125855" cy="3543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25855" cy="354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GH Research Reports First Quarter 2026 Financial Results and Provides Business Update</w:t>
      </w:r>
    </w:p>
    <w:p>
      <w:pPr>
        <w:spacing w:after="0" w:line="152" w:lineRule="exact"/>
        <w:rPr>
          <w:sz w:val="20"/>
          <w:szCs w:val="20"/>
          <w:color w:val="auto"/>
        </w:rPr>
      </w:pPr>
    </w:p>
    <w:p>
      <w:pPr>
        <w:ind w:left="420" w:hanging="212"/>
        <w:spacing w:after="0"/>
        <w:tabs>
          <w:tab w:leader="none" w:pos="4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Phase 2b results in TRD published in </w:t>
      </w:r>
      <w:r>
        <w:rPr>
          <w:rFonts w:ascii="Times New Roman" w:cs="Times New Roman" w:eastAsia="Times New Roman" w:hAnsi="Times New Roman"/>
          <w:sz w:val="12"/>
          <w:szCs w:val="12"/>
          <w:i w:val="1"/>
          <w:iCs w:val="1"/>
          <w:color w:val="auto"/>
        </w:rPr>
        <w:t>JAMA Psychiatry</w:t>
      </w:r>
    </w:p>
    <w:p>
      <w:pPr>
        <w:spacing w:after="0" w:line="152"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GH001-HV-106 study enrolment completed; doses selected for the global Phase 3 pivotal program of GH001 in TRD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GH001-HV-109 US IND-opening study enrolment completed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Cash, cash equivalents and marketable securities of $267.3 million as of March 31, 2026</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cash proceeds of an additional $111.2 million from underwritten offering received in April 2026</w:t>
      </w:r>
    </w:p>
    <w:p>
      <w:pPr>
        <w:spacing w:after="0" w:line="150"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DUBLIN, May 14, 2026 (GLOBE NEWSWIRE) -- GH Research PLC (Nasdaq: GHRS), a clinical-stage biopharmaceutical company dedicated to transforming the lives of patients by developing a practice-changing treatment in depression, today reported financial results for the quarter ended March 31, 2026, and provided a business update.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Business Updates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Scientific Presentations and Publications</w:t>
      </w:r>
    </w:p>
    <w:p>
      <w:pPr>
        <w:spacing w:after="0" w:line="152"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In March 2026, the results of our Phase 2b trial in TRD (GH001-TRD-201) were published in JAMA Psychiatry. A post-hoc analysis reported alongside the publication demonstrated efficacy independent of the number of prior antidepressant treatment failures, with Day 8 remission rates of 53.9%-63.6% across subgroups.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January 2026, data from our clinical trials in TRD and bipolar II depression were presented in three posters at the 64th Annual Meeting of the American College of Neuropsychopharmacology (ACNP).</w:t>
      </w:r>
    </w:p>
    <w:p>
      <w:pPr>
        <w:spacing w:after="0" w:line="150"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An additional three posters have been accepted to the American Society of Clinical Psychopharmacology (ASCP) Annual Meeting 2026 in Miami (May 26–29), featuring data from our Phase 2b trial in TRD (GH001-TRD-201), including the post-hoc analysis of efficacy by prior antidepressant failure, secondary endpoints covering anxiety and quality of life, and impact on anhedonia.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Proprietary Aerosol Delivery Device Study and Dose Selection</w:t>
      </w:r>
    </w:p>
    <w:p>
      <w:pPr>
        <w:spacing w:after="0" w:line="15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We have completed enrolment in our Phase 1 clinical pharmacology trial in the UK, evaluating our proprietary aerosol delivery device for administration of GH001 in healthy volunteers (GH001-HV-106). We have selected the doses for our global Phase 3 pivotal program based on the results from this trial.</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IND-Opening Study for GH001 in the United States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have completed enrolment in our IND-opening Phase 1 trial of GH001 in healthy volunteers (GH001-HV-109) in the United States.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Global Pivotal Program Plans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are seeking FDA alignment on the global Phase 3 pivotal program, which is intended to replicate the Phase 2b design. We continue to target initiation of our global pivotal program in late 2026.</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first quarter of 2026 marks progress as planned toward our global GH001 Phase 3 pivotal program,” said Dr. Velichka Valcheva,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176530</wp:posOffset>
            </wp:positionV>
            <wp:extent cx="7178040" cy="11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24" w:right="2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125855" cy="3543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125855" cy="354330"/>
                    </a:xfrm>
                    <a:prstGeom prst="rect">
                      <a:avLst/>
                    </a:prstGeom>
                    <a:noFill/>
                  </pic:spPr>
                </pic:pic>
              </a:graphicData>
            </a:graphic>
          </wp:anchor>
        </w:drawing>
        <w:t>First Quarter 2026 Financial Highlights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Cash position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Cash, cash equivalents and marketable securities were $267.3 million as of March 31, 2026, compared to $280.7 million as of December 31, 2025.</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Research and development expenses</w:t>
      </w:r>
    </w:p>
    <w:p>
      <w:pPr>
        <w:spacing w:after="0" w:line="15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R&amp;D expenses were $12.4 million for the quarter ended March 31, 2026, compared to $7.9 million for the same quarter in 2025. The increase is primarily due to increased expenses relating to our technical development and clinical development expenses, as well as employee expenses; partly offset by a decrease in nonclinical expenses.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General and administrative expenses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G&amp;A expenses were $6.4 million for the quarter ended March 31, 2026, compared to $4.9 million for the same quarter in 2025. The increase is primarily due to an increase in professional fees.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Net loss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Net loss was $19.0 million, or $0.31 loss per share, for the quarter ended March 31, 2026, compared to $10.8 million, or $0.19 loss per share, for the same quarter in 2025.</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GH Research PLC</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GH Research PLC is a clinical-stage biopharmaceutical company dedicated to transforming the lives of patients by developing a practice-changing treatment in depression. GH Research PLC’s initial focus is on developing its novel and proprietary mebufotenin therapies for the treatment of patients with TRD.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GH001</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Our lead product candidate, GH001, is formulated for mebufotenin administration via a proprietary inhalation approach. Based on the observed clinical activity in our Phase 2b GH001-TRD-201 trial, where the primary endpoint was met with a Montgomery-Åsberg Depression Rating Scale (MADRS) reduction from baseline of -15.5 points compared with placebo on Day 8 (p&lt;0.0001), we believe that GH001 has the potential to change the way TRD is treated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162560</wp:posOffset>
            </wp:positionV>
            <wp:extent cx="7178040" cy="11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800" w:right="2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125855" cy="3543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125855" cy="354330"/>
                    </a:xfrm>
                    <a:prstGeom prst="rect">
                      <a:avLst/>
                    </a:prstGeom>
                    <a:noFill/>
                  </pic:spPr>
                </pic:pic>
              </a:graphicData>
            </a:graphic>
          </wp:anchor>
        </w:drawing>
        <w:t>Forward-Looking Statements</w:t>
      </w:r>
    </w:p>
    <w:p>
      <w:pPr>
        <w:spacing w:after="0" w:line="1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2"/>
          <w:szCs w:val="12"/>
          <w:color w:val="auto"/>
        </w:rPr>
        <w:t>This press release contains statements that are, or may be deemed to be, forward-looking statements. All statements other than statements of historical fact included in this press release, including statements regarding our plans and expectations with respect to the initiation, timing, progress and design of our global Phase 3 pivotal program for GH001; our plans and expectations with respect to seeking FDA alignment on the pivotal program design; our plans and expectations with respect to progressing development of GH002 including with respect to the timing, scope and likelihood of IND submission and approval with the FDA; our future results of operations and financial position, business strategy, product candidates, medical devices required to deliver these product candidates, research pipeline, ongoing and currently planned nonclinical studies and clinical trials, regulatory submissions and approvals and their effects on our business strategy, our expectations related to commencing trials in the United States, research and development costs, cash runway, timing and likelihood of success, as well as plans and objectives of management for future operations, are forward-looking statements. Forward-looking statements appear in a number of places in this press release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the risk that we may not be able to initiate or complete our global Phase 3 pivotal program for GH001 on the timelines we are targeting or at all; the risk that we may not obtain FDA alignment on the pivotal program design on favorable terms or at all; the risk that future clinical trials of GH001 or clinical trials of GH002 or other product candidates we propose in future INDs are placed on clinical hold by the FDA; the risk that we may not be able to submit an IND for GH002, or to commence clinical trials in the United States on the timelines we are targeting; and those other risks described in our filings with the U.S. Securities and Exchange Commission from time to time. No assurance can be given that such future results, plans, or expectations or targets will be achieved. Such forward-looking statements contained in this press release speak only as of the date hereof. We expressly disclaim any obligation or undertaking to update these forward-looking statements contained in this press release to reflect any change in our expectations or any change in events, conditions, or circumstances on which such statements are based unless required to do so by applicable law. No representations or warranties (expressed or implied) are made about the accuracy of any such forward-looking statements.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Investor Relations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Julie Ryan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GH Research PLC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investors@ghres.com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175260</wp:posOffset>
            </wp:positionV>
            <wp:extent cx="7178040" cy="11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800" w:right="29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59"/>
        </w:trPr>
        <w:tc>
          <w:tcPr>
            <w:tcW w:w="2960" w:type="dxa"/>
            <w:vAlign w:val="bottom"/>
          </w:tcPr>
          <w:p>
            <w:pPr>
              <w:spacing w:after="0"/>
              <w:rPr>
                <w:sz w:val="13"/>
                <w:szCs w:val="13"/>
                <w:color w:val="auto"/>
              </w:rPr>
            </w:pPr>
          </w:p>
        </w:tc>
        <w:tc>
          <w:tcPr>
            <w:tcW w:w="7520" w:type="dxa"/>
            <w:vAlign w:val="bottom"/>
            <w:gridSpan w:val="4"/>
          </w:tcPr>
          <w:p>
            <w:pPr>
              <w:jc w:val="center"/>
              <w:ind w:right="2160"/>
              <w:spacing w:after="0"/>
              <w:rPr>
                <w:sz w:val="20"/>
                <w:szCs w:val="20"/>
                <w:color w:val="auto"/>
              </w:rPr>
            </w:pPr>
            <w:r>
              <w:rPr>
                <w:rFonts w:ascii="Times New Roman" w:cs="Times New Roman" w:eastAsia="Times New Roman" w:hAnsi="Times New Roman"/>
                <w:sz w:val="12"/>
                <w:szCs w:val="12"/>
                <w:b w:val="1"/>
                <w:bCs w:val="1"/>
                <w:color w:val="auto"/>
              </w:rPr>
              <w:t>GH RESEARCH PLC</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2960" w:type="dxa"/>
            <w:vAlign w:val="bottom"/>
          </w:tcPr>
          <w:p>
            <w:pPr>
              <w:spacing w:after="0"/>
              <w:rPr>
                <w:sz w:val="24"/>
                <w:szCs w:val="24"/>
                <w:color w:val="auto"/>
              </w:rPr>
            </w:pPr>
          </w:p>
        </w:tc>
        <w:tc>
          <w:tcPr>
            <w:tcW w:w="7520" w:type="dxa"/>
            <w:vAlign w:val="bottom"/>
            <w:gridSpan w:val="4"/>
          </w:tcPr>
          <w:p>
            <w:pPr>
              <w:jc w:val="center"/>
              <w:ind w:right="2160"/>
              <w:spacing w:after="0"/>
              <w:rPr>
                <w:sz w:val="20"/>
                <w:szCs w:val="20"/>
                <w:color w:val="auto"/>
              </w:rPr>
            </w:pPr>
            <w:r>
              <w:rPr>
                <w:rFonts w:ascii="Times New Roman" w:cs="Times New Roman" w:eastAsia="Times New Roman" w:hAnsi="Times New Roman"/>
                <w:sz w:val="12"/>
                <w:szCs w:val="12"/>
                <w:b w:val="1"/>
                <w:bCs w:val="1"/>
                <w:color w:val="auto"/>
              </w:rPr>
              <w:t>Condensed Consolidated Interim Statement of Comprehensive Loss (Unaudited)</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2960" w:type="dxa"/>
            <w:vAlign w:val="bottom"/>
          </w:tcPr>
          <w:p>
            <w:pPr>
              <w:spacing w:after="0"/>
              <w:rPr>
                <w:sz w:val="24"/>
                <w:szCs w:val="24"/>
                <w:color w:val="auto"/>
              </w:rPr>
            </w:pPr>
          </w:p>
        </w:tc>
        <w:tc>
          <w:tcPr>
            <w:tcW w:w="7520" w:type="dxa"/>
            <w:vAlign w:val="bottom"/>
            <w:gridSpan w:val="4"/>
          </w:tcPr>
          <w:p>
            <w:pPr>
              <w:jc w:val="center"/>
              <w:ind w:right="2160"/>
              <w:spacing w:after="0"/>
              <w:rPr>
                <w:sz w:val="20"/>
                <w:szCs w:val="20"/>
                <w:color w:val="auto"/>
              </w:rPr>
            </w:pPr>
            <w:r>
              <w:rPr>
                <w:rFonts w:ascii="Times New Roman" w:cs="Times New Roman" w:eastAsia="Times New Roman" w:hAnsi="Times New Roman"/>
                <w:sz w:val="12"/>
                <w:szCs w:val="12"/>
                <w:color w:val="auto"/>
                <w:w w:val="99"/>
              </w:rPr>
              <w:t>(in thousands, except share and per share amounts)</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3"/>
        </w:trPr>
        <w:tc>
          <w:tcPr>
            <w:tcW w:w="2960" w:type="dxa"/>
            <w:vAlign w:val="bottom"/>
          </w:tcPr>
          <w:p>
            <w:pPr>
              <w:spacing w:after="0"/>
              <w:rPr>
                <w:sz w:val="23"/>
                <w:szCs w:val="23"/>
                <w:color w:val="auto"/>
              </w:rPr>
            </w:pPr>
          </w:p>
        </w:tc>
        <w:tc>
          <w:tcPr>
            <w:tcW w:w="5740" w:type="dxa"/>
            <w:vAlign w:val="bottom"/>
          </w:tcPr>
          <w:p>
            <w:pPr>
              <w:spacing w:after="0"/>
              <w:rPr>
                <w:sz w:val="23"/>
                <w:szCs w:val="23"/>
                <w:color w:val="auto"/>
              </w:rPr>
            </w:pPr>
          </w:p>
        </w:tc>
        <w:tc>
          <w:tcPr>
            <w:tcW w:w="1780" w:type="dxa"/>
            <w:vAlign w:val="bottom"/>
            <w:gridSpan w:val="3"/>
          </w:tcPr>
          <w:p>
            <w:pPr>
              <w:jc w:val="center"/>
              <w:ind w:left="66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59"/>
        </w:trPr>
        <w:tc>
          <w:tcPr>
            <w:tcW w:w="296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1780" w:type="dxa"/>
            <w:vAlign w:val="bottom"/>
            <w:tcBorders>
              <w:bottom w:val="single" w:sz="8" w:color="auto"/>
            </w:tcBorders>
            <w:gridSpan w:val="3"/>
          </w:tcPr>
          <w:p>
            <w:pPr>
              <w:jc w:val="center"/>
              <w:ind w:left="640"/>
              <w:spacing w:after="0"/>
              <w:rPr>
                <w:sz w:val="20"/>
                <w:szCs w:val="20"/>
                <w:color w:val="auto"/>
              </w:rPr>
            </w:pPr>
            <w:r>
              <w:rPr>
                <w:rFonts w:ascii="Times New Roman" w:cs="Times New Roman" w:eastAsia="Times New Roman" w:hAnsi="Times New Roman"/>
                <w:sz w:val="12"/>
                <w:szCs w:val="12"/>
                <w:b w:val="1"/>
                <w:bCs w:val="1"/>
                <w:color w:val="auto"/>
                <w:w w:val="98"/>
              </w:rPr>
              <w:t>March 31,</w:t>
            </w:r>
          </w:p>
        </w:tc>
        <w:tc>
          <w:tcPr>
            <w:tcW w:w="7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7"/>
        </w:trPr>
        <w:tc>
          <w:tcPr>
            <w:tcW w:w="296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1160" w:type="dxa"/>
            <w:vAlign w:val="bottom"/>
          </w:tcPr>
          <w:p>
            <w:pPr>
              <w:jc w:val="right"/>
              <w:ind w:right="400"/>
              <w:spacing w:after="0" w:line="128" w:lineRule="exact"/>
              <w:rPr>
                <w:sz w:val="20"/>
                <w:szCs w:val="20"/>
                <w:color w:val="auto"/>
              </w:rPr>
            </w:pPr>
            <w:r>
              <w:rPr>
                <w:rFonts w:ascii="Times New Roman" w:cs="Times New Roman" w:eastAsia="Times New Roman" w:hAnsi="Times New Roman"/>
                <w:sz w:val="12"/>
                <w:szCs w:val="12"/>
                <w:b w:val="1"/>
                <w:bCs w:val="1"/>
                <w:color w:val="auto"/>
              </w:rPr>
              <w:t>2026</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jc w:val="right"/>
              <w:ind w:right="380"/>
              <w:spacing w:after="0" w:line="128" w:lineRule="exact"/>
              <w:rPr>
                <w:sz w:val="20"/>
                <w:szCs w:val="20"/>
                <w:color w:val="auto"/>
              </w:rPr>
            </w:pPr>
            <w:r>
              <w:rPr>
                <w:rFonts w:ascii="Times New Roman" w:cs="Times New Roman" w:eastAsia="Times New Roman" w:hAnsi="Times New Roman"/>
                <w:sz w:val="12"/>
                <w:szCs w:val="12"/>
                <w:b w:val="1"/>
                <w:bCs w:val="1"/>
                <w:color w:val="auto"/>
                <w:w w:val="99"/>
              </w:rPr>
              <w:t>2025</w:t>
            </w:r>
          </w:p>
        </w:tc>
        <w:tc>
          <w:tcPr>
            <w:tcW w:w="120" w:type="dxa"/>
            <w:vAlign w:val="bottom"/>
          </w:tcPr>
          <w:p>
            <w:pPr>
              <w:spacing w:after="0"/>
              <w:rPr>
                <w:sz w:val="11"/>
                <w:szCs w:val="11"/>
                <w:color w:val="auto"/>
              </w:rPr>
            </w:pPr>
          </w:p>
        </w:tc>
      </w:tr>
      <w:tr>
        <w:trPr>
          <w:trHeight w:val="159"/>
        </w:trPr>
        <w:tc>
          <w:tcPr>
            <w:tcW w:w="296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1780" w:type="dxa"/>
            <w:vAlign w:val="bottom"/>
            <w:gridSpan w:val="3"/>
          </w:tcPr>
          <w:p>
            <w:pPr>
              <w:ind w:left="500"/>
              <w:spacing w:after="0"/>
              <w:rPr>
                <w:sz w:val="20"/>
                <w:szCs w:val="20"/>
                <w:color w:val="auto"/>
              </w:rPr>
            </w:pPr>
            <w:r>
              <w:rPr>
                <w:rFonts w:ascii="Times New Roman" w:cs="Times New Roman" w:eastAsia="Times New Roman" w:hAnsi="Times New Roman"/>
                <w:sz w:val="12"/>
                <w:szCs w:val="12"/>
                <w:b w:val="1"/>
                <w:bCs w:val="1"/>
                <w:color w:val="auto"/>
              </w:rPr>
              <w:t>$’000</w:t>
            </w:r>
          </w:p>
        </w:tc>
        <w:tc>
          <w:tcPr>
            <w:tcW w:w="82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$’000</w:t>
            </w:r>
          </w:p>
        </w:tc>
      </w:tr>
      <w:tr>
        <w:trPr>
          <w:trHeight w:val="142"/>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Operating expenses</w:t>
            </w:r>
          </w:p>
        </w:tc>
        <w:tc>
          <w:tcPr>
            <w:tcW w:w="5740" w:type="dxa"/>
            <w:vAlign w:val="bottom"/>
            <w:shd w:val="clear" w:color="auto" w:fill="CCEEFF"/>
          </w:tcPr>
          <w:p>
            <w:pPr>
              <w:spacing w:after="0"/>
              <w:rPr>
                <w:sz w:val="12"/>
                <w:szCs w:val="12"/>
                <w:color w:val="auto"/>
              </w:rPr>
            </w:pPr>
          </w:p>
        </w:tc>
        <w:tc>
          <w:tcPr>
            <w:tcW w:w="1160" w:type="dxa"/>
            <w:vAlign w:val="bottom"/>
            <w:tcBorders>
              <w:top w:val="single" w:sz="8" w:color="auto"/>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29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Research and development</w:t>
            </w:r>
          </w:p>
        </w:tc>
        <w:tc>
          <w:tcPr>
            <w:tcW w:w="710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(12,379)</w:t>
            </w:r>
          </w:p>
        </w:tc>
        <w:tc>
          <w:tcPr>
            <w:tcW w:w="4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(7,852)</w:t>
            </w:r>
          </w:p>
        </w:tc>
      </w:tr>
      <w:tr>
        <w:trPr>
          <w:trHeight w:val="144"/>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General and administration</w:t>
            </w:r>
          </w:p>
        </w:tc>
        <w:tc>
          <w:tcPr>
            <w:tcW w:w="57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(6,370)</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(4,880)</w:t>
            </w:r>
          </w:p>
        </w:tc>
      </w:tr>
      <w:tr>
        <w:trPr>
          <w:trHeight w:val="20"/>
        </w:trPr>
        <w:tc>
          <w:tcPr>
            <w:tcW w:w="2960" w:type="dxa"/>
            <w:vAlign w:val="bottom"/>
            <w:shd w:val="clear" w:color="auto" w:fill="CCEEFF"/>
          </w:tcPr>
          <w:p>
            <w:pPr>
              <w:spacing w:after="0" w:line="20" w:lineRule="exact"/>
              <w:rPr>
                <w:sz w:val="1"/>
                <w:szCs w:val="1"/>
                <w:color w:val="auto"/>
              </w:rPr>
            </w:pPr>
          </w:p>
        </w:tc>
        <w:tc>
          <w:tcPr>
            <w:tcW w:w="5740" w:type="dxa"/>
            <w:vAlign w:val="bottom"/>
            <w:shd w:val="clear" w:color="auto" w:fill="CCEEFF"/>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29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Loss from operations</w:t>
            </w:r>
          </w:p>
        </w:tc>
        <w:tc>
          <w:tcPr>
            <w:tcW w:w="5740" w:type="dxa"/>
            <w:vAlign w:val="bottom"/>
          </w:tcPr>
          <w:p>
            <w:pPr>
              <w:spacing w:after="0"/>
              <w:rPr>
                <w:sz w:val="12"/>
                <w:szCs w:val="12"/>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(18,749)</w:t>
            </w:r>
          </w:p>
        </w:tc>
        <w:tc>
          <w:tcPr>
            <w:tcW w:w="4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(12,732)</w:t>
            </w:r>
          </w:p>
        </w:tc>
      </w:tr>
      <w:tr>
        <w:trPr>
          <w:trHeight w:val="142"/>
        </w:trPr>
        <w:tc>
          <w:tcPr>
            <w:tcW w:w="2960" w:type="dxa"/>
            <w:vAlign w:val="bottom"/>
            <w:shd w:val="clear" w:color="auto" w:fill="CCEEFF"/>
          </w:tcPr>
          <w:p>
            <w:pPr>
              <w:spacing w:after="0"/>
              <w:rPr>
                <w:sz w:val="12"/>
                <w:szCs w:val="12"/>
                <w:color w:val="auto"/>
              </w:rPr>
            </w:pPr>
          </w:p>
        </w:tc>
        <w:tc>
          <w:tcPr>
            <w:tcW w:w="5740" w:type="dxa"/>
            <w:vAlign w:val="bottom"/>
            <w:shd w:val="clear" w:color="auto" w:fill="CCEEFF"/>
          </w:tcPr>
          <w:p>
            <w:pPr>
              <w:spacing w:after="0"/>
              <w:rPr>
                <w:sz w:val="12"/>
                <w:szCs w:val="12"/>
                <w:color w:val="auto"/>
              </w:rPr>
            </w:pPr>
          </w:p>
        </w:tc>
        <w:tc>
          <w:tcPr>
            <w:tcW w:w="1160" w:type="dxa"/>
            <w:vAlign w:val="bottom"/>
            <w:tcBorders>
              <w:top w:val="single" w:sz="8" w:color="auto"/>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29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Finance income</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2,194</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2,759</w:t>
            </w:r>
          </w:p>
        </w:tc>
      </w:tr>
      <w:tr>
        <w:trPr>
          <w:trHeight w:val="144"/>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Finance expense</w:t>
            </w:r>
          </w:p>
        </w:tc>
        <w:tc>
          <w:tcPr>
            <w:tcW w:w="7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(84)</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(178)</w:t>
            </w:r>
          </w:p>
        </w:tc>
      </w:tr>
      <w:tr>
        <w:trPr>
          <w:trHeight w:val="144"/>
        </w:trPr>
        <w:tc>
          <w:tcPr>
            <w:tcW w:w="29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Movement of expected credit loss</w:t>
            </w:r>
          </w:p>
        </w:tc>
        <w:tc>
          <w:tcPr>
            <w:tcW w:w="6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(19)</w:t>
            </w:r>
          </w:p>
        </w:tc>
      </w:tr>
      <w:tr>
        <w:trPr>
          <w:trHeight w:val="144"/>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Foreign exchange loss</w:t>
            </w:r>
          </w:p>
        </w:tc>
        <w:tc>
          <w:tcPr>
            <w:tcW w:w="57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(2,329)</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(642)</w:t>
            </w:r>
          </w:p>
        </w:tc>
      </w:tr>
      <w:tr>
        <w:trPr>
          <w:trHeight w:val="20"/>
        </w:trPr>
        <w:tc>
          <w:tcPr>
            <w:tcW w:w="2960" w:type="dxa"/>
            <w:vAlign w:val="bottom"/>
            <w:shd w:val="clear" w:color="auto" w:fill="CCEEFF"/>
          </w:tcPr>
          <w:p>
            <w:pPr>
              <w:spacing w:after="0" w:line="20" w:lineRule="exact"/>
              <w:rPr>
                <w:sz w:val="1"/>
                <w:szCs w:val="1"/>
                <w:color w:val="auto"/>
              </w:rPr>
            </w:pPr>
          </w:p>
        </w:tc>
        <w:tc>
          <w:tcPr>
            <w:tcW w:w="5740" w:type="dxa"/>
            <w:vAlign w:val="bottom"/>
            <w:shd w:val="clear" w:color="auto" w:fill="CCEEFF"/>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29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other (loss)/income</w:t>
            </w:r>
          </w:p>
        </w:tc>
        <w:tc>
          <w:tcPr>
            <w:tcW w:w="5740" w:type="dxa"/>
            <w:vAlign w:val="bottom"/>
          </w:tcPr>
          <w:p>
            <w:pPr>
              <w:spacing w:after="0"/>
              <w:rPr>
                <w:sz w:val="12"/>
                <w:szCs w:val="12"/>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(218)</w:t>
            </w: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1,920</w:t>
            </w:r>
          </w:p>
        </w:tc>
      </w:tr>
      <w:tr>
        <w:trPr>
          <w:trHeight w:val="142"/>
        </w:trPr>
        <w:tc>
          <w:tcPr>
            <w:tcW w:w="2960" w:type="dxa"/>
            <w:vAlign w:val="bottom"/>
            <w:shd w:val="clear" w:color="auto" w:fill="CCEEFF"/>
          </w:tcPr>
          <w:p>
            <w:pPr>
              <w:spacing w:after="0"/>
              <w:rPr>
                <w:sz w:val="12"/>
                <w:szCs w:val="12"/>
                <w:color w:val="auto"/>
              </w:rPr>
            </w:pPr>
          </w:p>
        </w:tc>
        <w:tc>
          <w:tcPr>
            <w:tcW w:w="5740" w:type="dxa"/>
            <w:vAlign w:val="bottom"/>
            <w:shd w:val="clear" w:color="auto" w:fill="CCEEFF"/>
          </w:tcPr>
          <w:p>
            <w:pPr>
              <w:spacing w:after="0"/>
              <w:rPr>
                <w:sz w:val="12"/>
                <w:szCs w:val="12"/>
                <w:color w:val="auto"/>
              </w:rPr>
            </w:pPr>
          </w:p>
        </w:tc>
        <w:tc>
          <w:tcPr>
            <w:tcW w:w="1160" w:type="dxa"/>
            <w:vAlign w:val="bottom"/>
            <w:tcBorders>
              <w:top w:val="single" w:sz="8" w:color="auto"/>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29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Loss before tax</w:t>
            </w:r>
          </w:p>
        </w:tc>
        <w:tc>
          <w:tcPr>
            <w:tcW w:w="710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(18,967)</w:t>
            </w:r>
          </w:p>
        </w:tc>
        <w:tc>
          <w:tcPr>
            <w:tcW w:w="4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(10,812)</w:t>
            </w:r>
          </w:p>
        </w:tc>
      </w:tr>
      <w:tr>
        <w:trPr>
          <w:trHeight w:val="144"/>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Tax charge/(credit)</w:t>
            </w:r>
          </w:p>
        </w:tc>
        <w:tc>
          <w:tcPr>
            <w:tcW w:w="5740" w:type="dxa"/>
            <w:vAlign w:val="bottom"/>
            <w:shd w:val="clear" w:color="auto" w:fill="CCEEFF"/>
          </w:tcPr>
          <w:p>
            <w:pPr>
              <w:spacing w:after="0"/>
              <w:rPr>
                <w:sz w:val="12"/>
                <w:szCs w:val="12"/>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2960" w:type="dxa"/>
            <w:vAlign w:val="bottom"/>
            <w:shd w:val="clear" w:color="auto" w:fill="CCEEFF"/>
          </w:tcPr>
          <w:p>
            <w:pPr>
              <w:spacing w:after="0" w:line="20" w:lineRule="exact"/>
              <w:rPr>
                <w:sz w:val="1"/>
                <w:szCs w:val="1"/>
                <w:color w:val="auto"/>
              </w:rPr>
            </w:pPr>
          </w:p>
        </w:tc>
        <w:tc>
          <w:tcPr>
            <w:tcW w:w="5740" w:type="dxa"/>
            <w:vAlign w:val="bottom"/>
            <w:shd w:val="clear" w:color="auto" w:fill="CCEEFF"/>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29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Loss for the period</w:t>
            </w:r>
          </w:p>
        </w:tc>
        <w:tc>
          <w:tcPr>
            <w:tcW w:w="5740" w:type="dxa"/>
            <w:vAlign w:val="bottom"/>
          </w:tcPr>
          <w:p>
            <w:pPr>
              <w:spacing w:after="0"/>
              <w:rPr>
                <w:sz w:val="12"/>
                <w:szCs w:val="12"/>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(18,967)</w:t>
            </w:r>
          </w:p>
        </w:tc>
        <w:tc>
          <w:tcPr>
            <w:tcW w:w="4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(10,812)</w:t>
            </w:r>
          </w:p>
        </w:tc>
      </w:tr>
      <w:tr>
        <w:trPr>
          <w:trHeight w:val="142"/>
        </w:trPr>
        <w:tc>
          <w:tcPr>
            <w:tcW w:w="2960" w:type="dxa"/>
            <w:vAlign w:val="bottom"/>
            <w:shd w:val="clear" w:color="auto" w:fill="CCEEFF"/>
          </w:tcPr>
          <w:p>
            <w:pPr>
              <w:spacing w:after="0"/>
              <w:rPr>
                <w:sz w:val="12"/>
                <w:szCs w:val="12"/>
                <w:color w:val="auto"/>
              </w:rPr>
            </w:pPr>
          </w:p>
        </w:tc>
        <w:tc>
          <w:tcPr>
            <w:tcW w:w="5740" w:type="dxa"/>
            <w:vAlign w:val="bottom"/>
            <w:shd w:val="clear" w:color="auto" w:fill="CCEEFF"/>
          </w:tcPr>
          <w:p>
            <w:pPr>
              <w:spacing w:after="0"/>
              <w:rPr>
                <w:sz w:val="12"/>
                <w:szCs w:val="12"/>
                <w:color w:val="auto"/>
              </w:rPr>
            </w:pPr>
          </w:p>
        </w:tc>
        <w:tc>
          <w:tcPr>
            <w:tcW w:w="1160" w:type="dxa"/>
            <w:vAlign w:val="bottom"/>
            <w:tcBorders>
              <w:top w:val="single" w:sz="8" w:color="auto"/>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29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Other comprehensive income/(expense)</w:t>
            </w:r>
          </w:p>
        </w:tc>
        <w:tc>
          <w:tcPr>
            <w:tcW w:w="57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i w:val="1"/>
                <w:iCs w:val="1"/>
                <w:color w:val="auto"/>
              </w:rPr>
              <w:t>Items that may be reclassified to profit or loss</w:t>
            </w:r>
          </w:p>
        </w:tc>
        <w:tc>
          <w:tcPr>
            <w:tcW w:w="5740" w:type="dxa"/>
            <w:vAlign w:val="bottom"/>
            <w:shd w:val="clear" w:color="auto" w:fill="CCEEFF"/>
          </w:tcPr>
          <w:p>
            <w:pPr>
              <w:spacing w:after="0"/>
              <w:rPr>
                <w:sz w:val="12"/>
                <w:szCs w:val="12"/>
                <w:color w:val="auto"/>
              </w:rPr>
            </w:pPr>
          </w:p>
        </w:tc>
        <w:tc>
          <w:tcPr>
            <w:tcW w:w="116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29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Fair value movement on marketable securities</w:t>
            </w:r>
          </w:p>
        </w:tc>
        <w:tc>
          <w:tcPr>
            <w:tcW w:w="710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(84)</w:t>
            </w: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60</w:t>
            </w:r>
          </w:p>
        </w:tc>
      </w:tr>
      <w:tr>
        <w:trPr>
          <w:trHeight w:val="144"/>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Currency translation adjustment</w:t>
            </w:r>
          </w:p>
        </w:tc>
        <w:tc>
          <w:tcPr>
            <w:tcW w:w="5740" w:type="dxa"/>
            <w:vAlign w:val="bottom"/>
            <w:shd w:val="clear" w:color="auto" w:fill="CCEEFF"/>
          </w:tcPr>
          <w:p>
            <w:pPr>
              <w:spacing w:after="0"/>
              <w:rPr>
                <w:sz w:val="12"/>
                <w:szCs w:val="12"/>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822</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532</w:t>
            </w:r>
          </w:p>
        </w:tc>
      </w:tr>
      <w:tr>
        <w:trPr>
          <w:trHeight w:val="20"/>
        </w:trPr>
        <w:tc>
          <w:tcPr>
            <w:tcW w:w="2960" w:type="dxa"/>
            <w:vAlign w:val="bottom"/>
            <w:shd w:val="clear" w:color="auto" w:fill="CCEEFF"/>
          </w:tcPr>
          <w:p>
            <w:pPr>
              <w:spacing w:after="0" w:line="20" w:lineRule="exact"/>
              <w:rPr>
                <w:sz w:val="1"/>
                <w:szCs w:val="1"/>
                <w:color w:val="auto"/>
              </w:rPr>
            </w:pPr>
          </w:p>
        </w:tc>
        <w:tc>
          <w:tcPr>
            <w:tcW w:w="5740" w:type="dxa"/>
            <w:vAlign w:val="bottom"/>
            <w:shd w:val="clear" w:color="auto" w:fill="CCEEFF"/>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29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comprehensive loss for the period</w:t>
            </w:r>
          </w:p>
        </w:tc>
        <w:tc>
          <w:tcPr>
            <w:tcW w:w="5740" w:type="dxa"/>
            <w:vAlign w:val="bottom"/>
          </w:tcPr>
          <w:p>
            <w:pPr>
              <w:spacing w:after="0"/>
              <w:rPr>
                <w:sz w:val="12"/>
                <w:szCs w:val="12"/>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(18,229)</w:t>
            </w:r>
          </w:p>
        </w:tc>
        <w:tc>
          <w:tcPr>
            <w:tcW w:w="4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(10,220)</w:t>
            </w:r>
          </w:p>
        </w:tc>
      </w:tr>
      <w:tr>
        <w:trPr>
          <w:trHeight w:val="20"/>
        </w:trPr>
        <w:tc>
          <w:tcPr>
            <w:tcW w:w="29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0"/>
        </w:trPr>
        <w:tc>
          <w:tcPr>
            <w:tcW w:w="2960" w:type="dxa"/>
            <w:vAlign w:val="bottom"/>
            <w:shd w:val="clear" w:color="auto" w:fill="CCEEFF"/>
          </w:tcPr>
          <w:p>
            <w:pPr>
              <w:spacing w:after="0"/>
              <w:rPr>
                <w:sz w:val="10"/>
                <w:szCs w:val="10"/>
                <w:color w:val="auto"/>
              </w:rPr>
            </w:pPr>
          </w:p>
        </w:tc>
        <w:tc>
          <w:tcPr>
            <w:tcW w:w="5740" w:type="dxa"/>
            <w:vAlign w:val="bottom"/>
            <w:shd w:val="clear" w:color="auto" w:fill="CCEEFF"/>
          </w:tcPr>
          <w:p>
            <w:pPr>
              <w:spacing w:after="0"/>
              <w:rPr>
                <w:sz w:val="10"/>
                <w:szCs w:val="10"/>
                <w:color w:val="auto"/>
              </w:rPr>
            </w:pPr>
          </w:p>
        </w:tc>
        <w:tc>
          <w:tcPr>
            <w:tcW w:w="1160" w:type="dxa"/>
            <w:vAlign w:val="bottom"/>
            <w:tcBorders>
              <w:right w:val="single" w:sz="8" w:color="CCEEFF"/>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44"/>
        </w:trPr>
        <w:tc>
          <w:tcPr>
            <w:tcW w:w="29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Attributable to owners:</w:t>
            </w:r>
          </w:p>
        </w:tc>
        <w:tc>
          <w:tcPr>
            <w:tcW w:w="57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Loss for the period</w:t>
            </w:r>
          </w:p>
        </w:tc>
        <w:tc>
          <w:tcPr>
            <w:tcW w:w="7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(18,967)</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(10,812)</w:t>
            </w:r>
          </w:p>
        </w:tc>
      </w:tr>
      <w:tr>
        <w:trPr>
          <w:trHeight w:val="144"/>
        </w:trPr>
        <w:tc>
          <w:tcPr>
            <w:tcW w:w="29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Total comprehensive loss for the period</w:t>
            </w:r>
          </w:p>
        </w:tc>
        <w:tc>
          <w:tcPr>
            <w:tcW w:w="710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(18,229)</w:t>
            </w:r>
          </w:p>
        </w:tc>
        <w:tc>
          <w:tcPr>
            <w:tcW w:w="4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(10,220)</w:t>
            </w:r>
          </w:p>
        </w:tc>
      </w:tr>
      <w:tr>
        <w:trPr>
          <w:trHeight w:val="142"/>
        </w:trPr>
        <w:tc>
          <w:tcPr>
            <w:tcW w:w="2960" w:type="dxa"/>
            <w:vAlign w:val="bottom"/>
            <w:shd w:val="clear" w:color="auto" w:fill="CCEEFF"/>
          </w:tcPr>
          <w:p>
            <w:pPr>
              <w:spacing w:after="0"/>
              <w:rPr>
                <w:sz w:val="12"/>
                <w:szCs w:val="12"/>
                <w:color w:val="auto"/>
              </w:rPr>
            </w:pPr>
          </w:p>
        </w:tc>
        <w:tc>
          <w:tcPr>
            <w:tcW w:w="5740" w:type="dxa"/>
            <w:vAlign w:val="bottom"/>
            <w:shd w:val="clear" w:color="auto" w:fill="CCEEFF"/>
          </w:tcPr>
          <w:p>
            <w:pPr>
              <w:spacing w:after="0"/>
              <w:rPr>
                <w:sz w:val="12"/>
                <w:szCs w:val="12"/>
                <w:color w:val="auto"/>
              </w:rPr>
            </w:pPr>
          </w:p>
        </w:tc>
        <w:tc>
          <w:tcPr>
            <w:tcW w:w="1160" w:type="dxa"/>
            <w:vAlign w:val="bottom"/>
            <w:tcBorders>
              <w:top w:val="single" w:sz="8" w:color="auto"/>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29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Loss per share</w:t>
            </w:r>
          </w:p>
        </w:tc>
        <w:tc>
          <w:tcPr>
            <w:tcW w:w="57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Basic and diluted loss per share (in USD)</w:t>
            </w:r>
          </w:p>
        </w:tc>
        <w:tc>
          <w:tcPr>
            <w:tcW w:w="7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(0.31)</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(0.19)</w:t>
            </w:r>
          </w:p>
        </w:tc>
      </w:tr>
      <w:tr>
        <w:trPr>
          <w:trHeight w:val="270"/>
        </w:trPr>
        <w:tc>
          <w:tcPr>
            <w:tcW w:w="2960" w:type="dxa"/>
            <w:vAlign w:val="bottom"/>
            <w:tcBorders>
              <w:bottom w:val="single" w:sz="8" w:color="auto"/>
            </w:tcBorders>
          </w:tcPr>
          <w:p>
            <w:pPr>
              <w:spacing w:after="0"/>
              <w:rPr>
                <w:sz w:val="23"/>
                <w:szCs w:val="23"/>
                <w:color w:val="auto"/>
              </w:rPr>
            </w:pPr>
          </w:p>
        </w:tc>
        <w:tc>
          <w:tcPr>
            <w:tcW w:w="57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r>
    </w:tbl>
    <w:p>
      <w:pPr>
        <w:spacing w:after="0"/>
        <w:rPr>
          <w:sz w:val="20"/>
          <w:szCs w:val="20"/>
          <w:color w:val="auto"/>
        </w:rPr>
        <w:sectPr>
          <w:pgSz w:w="11900" w:h="16838" w:orient="portrait"/>
          <w:cols w:equalWidth="0" w:num="1">
            <w:col w:w="11300"/>
          </w:cols>
          <w:pgMar w:left="300" w:top="800" w:right="299" w:bottom="1440" w:gutter="0" w:footer="0" w:header="0"/>
        </w:sect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125855" cy="3543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1125855" cy="354330"/>
                    </a:xfrm>
                    <a:prstGeom prst="rect">
                      <a:avLst/>
                    </a:prstGeom>
                    <a:noFill/>
                  </pic:spPr>
                </pic:pic>
              </a:graphicData>
            </a:graphic>
          </wp:anchor>
        </w:drawing>
      </w:r>
    </w:p>
    <w:bookmarkStart w:id="31" w:name="page32"/>
    <w:bookmarkEnd w:id="31"/>
    <w:tbl>
      <w:tblPr>
        <w:tblLayout w:type="fixed"/>
        <w:tblInd w:w="0" w:type="dxa"/>
        <w:tblCellMar>
          <w:top w:w="0" w:type="dxa"/>
          <w:left w:w="0" w:type="dxa"/>
          <w:bottom w:w="0" w:type="dxa"/>
          <w:right w:w="0" w:type="dxa"/>
        </w:tblCellMar>
      </w:tblPr>
      <w:tr>
        <w:trPr>
          <w:trHeight w:val="159"/>
        </w:trPr>
        <w:tc>
          <w:tcPr>
            <w:tcW w:w="2960" w:type="dxa"/>
            <w:vAlign w:val="bottom"/>
          </w:tcPr>
          <w:p>
            <w:pPr>
              <w:spacing w:after="0"/>
              <w:rPr>
                <w:sz w:val="13"/>
                <w:szCs w:val="13"/>
                <w:color w:val="auto"/>
              </w:rPr>
            </w:pPr>
          </w:p>
        </w:tc>
        <w:tc>
          <w:tcPr>
            <w:tcW w:w="7100" w:type="dxa"/>
            <w:vAlign w:val="bottom"/>
            <w:gridSpan w:val="3"/>
          </w:tcPr>
          <w:p>
            <w:pPr>
              <w:jc w:val="center"/>
              <w:ind w:right="1740"/>
              <w:spacing w:after="0"/>
              <w:rPr>
                <w:sz w:val="20"/>
                <w:szCs w:val="20"/>
                <w:color w:val="auto"/>
              </w:rPr>
            </w:pPr>
            <w:r>
              <w:rPr>
                <w:rFonts w:ascii="Times New Roman" w:cs="Times New Roman" w:eastAsia="Times New Roman" w:hAnsi="Times New Roman"/>
                <w:sz w:val="12"/>
                <w:szCs w:val="12"/>
                <w:b w:val="1"/>
                <w:bCs w:val="1"/>
                <w:color w:val="auto"/>
              </w:rPr>
              <w:t>GH RESEARCH PLC</w:t>
            </w: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2960" w:type="dxa"/>
            <w:vAlign w:val="bottom"/>
          </w:tcPr>
          <w:p>
            <w:pPr>
              <w:spacing w:after="0"/>
              <w:rPr>
                <w:sz w:val="24"/>
                <w:szCs w:val="24"/>
                <w:color w:val="auto"/>
              </w:rPr>
            </w:pPr>
          </w:p>
        </w:tc>
        <w:tc>
          <w:tcPr>
            <w:tcW w:w="7100" w:type="dxa"/>
            <w:vAlign w:val="bottom"/>
            <w:gridSpan w:val="3"/>
          </w:tcPr>
          <w:p>
            <w:pPr>
              <w:jc w:val="center"/>
              <w:ind w:right="1740"/>
              <w:spacing w:after="0"/>
              <w:rPr>
                <w:sz w:val="20"/>
                <w:szCs w:val="20"/>
                <w:color w:val="auto"/>
              </w:rPr>
            </w:pPr>
            <w:r>
              <w:rPr>
                <w:rFonts w:ascii="Times New Roman" w:cs="Times New Roman" w:eastAsia="Times New Roman" w:hAnsi="Times New Roman"/>
                <w:sz w:val="12"/>
                <w:szCs w:val="12"/>
                <w:b w:val="1"/>
                <w:bCs w:val="1"/>
                <w:color w:val="auto"/>
                <w:w w:val="99"/>
              </w:rPr>
              <w:t>Condensed Consolidated Interim Balance Sheet (Unaudited)</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2960" w:type="dxa"/>
            <w:vAlign w:val="bottom"/>
          </w:tcPr>
          <w:p>
            <w:pPr>
              <w:spacing w:after="0"/>
              <w:rPr>
                <w:sz w:val="24"/>
                <w:szCs w:val="24"/>
                <w:color w:val="auto"/>
              </w:rPr>
            </w:pPr>
          </w:p>
        </w:tc>
        <w:tc>
          <w:tcPr>
            <w:tcW w:w="7100" w:type="dxa"/>
            <w:vAlign w:val="bottom"/>
            <w:gridSpan w:val="3"/>
          </w:tcPr>
          <w:p>
            <w:pPr>
              <w:jc w:val="center"/>
              <w:ind w:right="1740"/>
              <w:spacing w:after="0"/>
              <w:rPr>
                <w:sz w:val="20"/>
                <w:szCs w:val="20"/>
                <w:color w:val="auto"/>
              </w:rPr>
            </w:pPr>
            <w:r>
              <w:rPr>
                <w:rFonts w:ascii="Times New Roman" w:cs="Times New Roman" w:eastAsia="Times New Roman" w:hAnsi="Times New Roman"/>
                <w:sz w:val="12"/>
                <w:szCs w:val="12"/>
                <w:color w:val="auto"/>
                <w:w w:val="99"/>
              </w:rPr>
              <w:t>(in thousands)</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29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At March 31,</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At December 31,</w:t>
            </w:r>
          </w:p>
        </w:tc>
      </w:tr>
      <w:tr>
        <w:trPr>
          <w:trHeight w:val="127"/>
        </w:trPr>
        <w:tc>
          <w:tcPr>
            <w:tcW w:w="296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1140" w:type="dxa"/>
            <w:vAlign w:val="bottom"/>
            <w:tcBorders>
              <w:top w:val="single" w:sz="8" w:color="auto"/>
            </w:tcBorders>
          </w:tcPr>
          <w:p>
            <w:pPr>
              <w:jc w:val="right"/>
              <w:ind w:right="380"/>
              <w:spacing w:after="0" w:line="128" w:lineRule="exact"/>
              <w:rPr>
                <w:sz w:val="20"/>
                <w:szCs w:val="20"/>
                <w:color w:val="auto"/>
              </w:rPr>
            </w:pPr>
            <w:r>
              <w:rPr>
                <w:rFonts w:ascii="Times New Roman" w:cs="Times New Roman" w:eastAsia="Times New Roman" w:hAnsi="Times New Roman"/>
                <w:sz w:val="12"/>
                <w:szCs w:val="12"/>
                <w:b w:val="1"/>
                <w:bCs w:val="1"/>
                <w:color w:val="auto"/>
              </w:rPr>
              <w:t>2026</w:t>
            </w:r>
          </w:p>
        </w:tc>
        <w:tc>
          <w:tcPr>
            <w:tcW w:w="220" w:type="dxa"/>
            <w:vAlign w:val="bottom"/>
          </w:tcPr>
          <w:p>
            <w:pPr>
              <w:spacing w:after="0"/>
              <w:rPr>
                <w:sz w:val="11"/>
                <w:szCs w:val="11"/>
                <w:color w:val="auto"/>
              </w:rPr>
            </w:pPr>
          </w:p>
        </w:tc>
        <w:tc>
          <w:tcPr>
            <w:tcW w:w="1120" w:type="dxa"/>
            <w:vAlign w:val="bottom"/>
            <w:tcBorders>
              <w:top w:val="single" w:sz="8" w:color="auto"/>
            </w:tcBorders>
          </w:tcPr>
          <w:p>
            <w:pPr>
              <w:jc w:val="right"/>
              <w:ind w:right="380"/>
              <w:spacing w:after="0" w:line="128" w:lineRule="exact"/>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Pr>
          <w:p>
            <w:pPr>
              <w:spacing w:after="0"/>
              <w:rPr>
                <w:sz w:val="11"/>
                <w:szCs w:val="11"/>
                <w:color w:val="auto"/>
              </w:rPr>
            </w:pPr>
          </w:p>
        </w:tc>
      </w:tr>
      <w:tr>
        <w:trPr>
          <w:trHeight w:val="159"/>
        </w:trPr>
        <w:tc>
          <w:tcPr>
            <w:tcW w:w="296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1360" w:type="dxa"/>
            <w:vAlign w:val="bottom"/>
            <w:gridSpan w:val="2"/>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$’000</w:t>
            </w: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$’000</w:t>
            </w:r>
          </w:p>
        </w:tc>
      </w:tr>
      <w:tr>
        <w:trPr>
          <w:trHeight w:val="142"/>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5740" w:type="dxa"/>
            <w:vAlign w:val="bottom"/>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29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Current assets</w:t>
            </w:r>
          </w:p>
        </w:tc>
        <w:tc>
          <w:tcPr>
            <w:tcW w:w="57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6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242,652</w:t>
            </w: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246,251</w:t>
            </w:r>
          </w:p>
        </w:tc>
      </w:tr>
      <w:tr>
        <w:trPr>
          <w:trHeight w:val="144"/>
        </w:trPr>
        <w:tc>
          <w:tcPr>
            <w:tcW w:w="29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Marketable securities</w:t>
            </w:r>
          </w:p>
        </w:tc>
        <w:tc>
          <w:tcPr>
            <w:tcW w:w="71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24,673</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34,457</w:t>
            </w:r>
          </w:p>
        </w:tc>
      </w:tr>
      <w:tr>
        <w:trPr>
          <w:trHeight w:val="144"/>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Other current assets</w:t>
            </w:r>
          </w:p>
        </w:tc>
        <w:tc>
          <w:tcPr>
            <w:tcW w:w="57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4,907</w:t>
            </w: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5,268</w:t>
            </w:r>
          </w:p>
        </w:tc>
      </w:tr>
      <w:tr>
        <w:trPr>
          <w:trHeight w:val="20"/>
        </w:trPr>
        <w:tc>
          <w:tcPr>
            <w:tcW w:w="2960" w:type="dxa"/>
            <w:vAlign w:val="bottom"/>
            <w:shd w:val="clear" w:color="auto" w:fill="CCEEFF"/>
          </w:tcPr>
          <w:p>
            <w:pPr>
              <w:spacing w:after="0" w:line="20" w:lineRule="exact"/>
              <w:rPr>
                <w:sz w:val="1"/>
                <w:szCs w:val="1"/>
                <w:color w:val="auto"/>
              </w:rPr>
            </w:pPr>
          </w:p>
        </w:tc>
        <w:tc>
          <w:tcPr>
            <w:tcW w:w="57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29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current assets</w:t>
            </w:r>
          </w:p>
        </w:tc>
        <w:tc>
          <w:tcPr>
            <w:tcW w:w="57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272,232</w:t>
            </w:r>
          </w:p>
        </w:tc>
        <w:tc>
          <w:tcPr>
            <w:tcW w:w="22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285,976</w:t>
            </w:r>
          </w:p>
        </w:tc>
      </w:tr>
      <w:tr>
        <w:trPr>
          <w:trHeight w:val="142"/>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Non-current assets</w:t>
            </w:r>
          </w:p>
        </w:tc>
        <w:tc>
          <w:tcPr>
            <w:tcW w:w="5740" w:type="dxa"/>
            <w:vAlign w:val="bottom"/>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29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Property, plant and equipment</w:t>
            </w:r>
          </w:p>
        </w:tc>
        <w:tc>
          <w:tcPr>
            <w:tcW w:w="68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580</w:t>
            </w:r>
          </w:p>
        </w:tc>
        <w:tc>
          <w:tcPr>
            <w:tcW w:w="22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620</w:t>
            </w:r>
          </w:p>
        </w:tc>
      </w:tr>
      <w:tr>
        <w:trPr>
          <w:trHeight w:val="144"/>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Other non-current assets</w:t>
            </w:r>
          </w:p>
        </w:tc>
        <w:tc>
          <w:tcPr>
            <w:tcW w:w="57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2,455</w:t>
            </w: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1,634</w:t>
            </w:r>
          </w:p>
        </w:tc>
      </w:tr>
      <w:tr>
        <w:trPr>
          <w:trHeight w:val="20"/>
        </w:trPr>
        <w:tc>
          <w:tcPr>
            <w:tcW w:w="2960" w:type="dxa"/>
            <w:vAlign w:val="bottom"/>
            <w:shd w:val="clear" w:color="auto" w:fill="CCEEFF"/>
          </w:tcPr>
          <w:p>
            <w:pPr>
              <w:spacing w:after="0" w:line="20" w:lineRule="exact"/>
              <w:rPr>
                <w:sz w:val="1"/>
                <w:szCs w:val="1"/>
                <w:color w:val="auto"/>
              </w:rPr>
            </w:pPr>
          </w:p>
        </w:tc>
        <w:tc>
          <w:tcPr>
            <w:tcW w:w="57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29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non-current assets</w:t>
            </w:r>
          </w:p>
        </w:tc>
        <w:tc>
          <w:tcPr>
            <w:tcW w:w="57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3,035</w:t>
            </w:r>
          </w:p>
        </w:tc>
        <w:tc>
          <w:tcPr>
            <w:tcW w:w="22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2,254</w:t>
            </w:r>
          </w:p>
        </w:tc>
      </w:tr>
      <w:tr>
        <w:trPr>
          <w:trHeight w:val="182"/>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57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275,267</w:t>
            </w:r>
          </w:p>
        </w:tc>
        <w:tc>
          <w:tcPr>
            <w:tcW w:w="2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288,230</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120"/>
        </w:trPr>
        <w:tc>
          <w:tcPr>
            <w:tcW w:w="2960" w:type="dxa"/>
            <w:vAlign w:val="bottom"/>
          </w:tcPr>
          <w:p>
            <w:pPr>
              <w:spacing w:after="0"/>
              <w:rPr>
                <w:sz w:val="10"/>
                <w:szCs w:val="10"/>
                <w:color w:val="auto"/>
              </w:rPr>
            </w:pPr>
          </w:p>
        </w:tc>
        <w:tc>
          <w:tcPr>
            <w:tcW w:w="57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4"/>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LIABILITIES AND EQUITY</w:t>
            </w:r>
          </w:p>
        </w:tc>
        <w:tc>
          <w:tcPr>
            <w:tcW w:w="57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29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Current liabilities</w:t>
            </w:r>
          </w:p>
        </w:tc>
        <w:tc>
          <w:tcPr>
            <w:tcW w:w="57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Trade payables</w:t>
            </w:r>
          </w:p>
        </w:tc>
        <w:tc>
          <w:tcPr>
            <w:tcW w:w="6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5,212</w:t>
            </w: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3,773</w:t>
            </w:r>
          </w:p>
        </w:tc>
      </w:tr>
      <w:tr>
        <w:trPr>
          <w:trHeight w:val="144"/>
        </w:trPr>
        <w:tc>
          <w:tcPr>
            <w:tcW w:w="29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Lease liability</w:t>
            </w:r>
          </w:p>
        </w:tc>
        <w:tc>
          <w:tcPr>
            <w:tcW w:w="68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357</w:t>
            </w:r>
          </w:p>
        </w:tc>
        <w:tc>
          <w:tcPr>
            <w:tcW w:w="22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365</w:t>
            </w:r>
          </w:p>
        </w:tc>
      </w:tr>
      <w:tr>
        <w:trPr>
          <w:trHeight w:val="144"/>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57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6,246</w:t>
            </w: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4,242</w:t>
            </w:r>
          </w:p>
        </w:tc>
      </w:tr>
      <w:tr>
        <w:trPr>
          <w:trHeight w:val="20"/>
        </w:trPr>
        <w:tc>
          <w:tcPr>
            <w:tcW w:w="2960" w:type="dxa"/>
            <w:vAlign w:val="bottom"/>
            <w:shd w:val="clear" w:color="auto" w:fill="CCEEFF"/>
          </w:tcPr>
          <w:p>
            <w:pPr>
              <w:spacing w:after="0" w:line="20" w:lineRule="exact"/>
              <w:rPr>
                <w:sz w:val="1"/>
                <w:szCs w:val="1"/>
                <w:color w:val="auto"/>
              </w:rPr>
            </w:pPr>
          </w:p>
        </w:tc>
        <w:tc>
          <w:tcPr>
            <w:tcW w:w="57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29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5740" w:type="dxa"/>
            <w:vAlign w:val="bottom"/>
          </w:tcPr>
          <w:p>
            <w:pPr>
              <w:spacing w:after="0"/>
              <w:rPr>
                <w:sz w:val="12"/>
                <w:szCs w:val="12"/>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11,815</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8,380</w:t>
            </w:r>
          </w:p>
        </w:tc>
      </w:tr>
      <w:tr>
        <w:trPr>
          <w:trHeight w:val="142"/>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Non-current liabilities</w:t>
            </w:r>
          </w:p>
        </w:tc>
        <w:tc>
          <w:tcPr>
            <w:tcW w:w="5740" w:type="dxa"/>
            <w:vAlign w:val="bottom"/>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29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Lease liability</w:t>
            </w:r>
          </w:p>
        </w:tc>
        <w:tc>
          <w:tcPr>
            <w:tcW w:w="68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22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147</w:t>
            </w:r>
          </w:p>
        </w:tc>
      </w:tr>
      <w:tr>
        <w:trPr>
          <w:trHeight w:val="142"/>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non-current liabilities</w:t>
            </w:r>
          </w:p>
        </w:tc>
        <w:tc>
          <w:tcPr>
            <w:tcW w:w="574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75</w:t>
            </w:r>
          </w:p>
        </w:tc>
        <w:tc>
          <w:tcPr>
            <w:tcW w:w="22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147</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29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71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11,890</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8,527</w:t>
            </w:r>
          </w:p>
        </w:tc>
      </w:tr>
      <w:tr>
        <w:trPr>
          <w:trHeight w:val="142"/>
        </w:trPr>
        <w:tc>
          <w:tcPr>
            <w:tcW w:w="2960" w:type="dxa"/>
            <w:vAlign w:val="bottom"/>
            <w:shd w:val="clear" w:color="auto" w:fill="CCEEFF"/>
          </w:tcPr>
          <w:p>
            <w:pPr>
              <w:spacing w:after="0"/>
              <w:rPr>
                <w:sz w:val="12"/>
                <w:szCs w:val="12"/>
                <w:color w:val="auto"/>
              </w:rPr>
            </w:pPr>
          </w:p>
        </w:tc>
        <w:tc>
          <w:tcPr>
            <w:tcW w:w="5740" w:type="dxa"/>
            <w:vAlign w:val="bottom"/>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29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Equity attributable to owners</w:t>
            </w:r>
          </w:p>
        </w:tc>
        <w:tc>
          <w:tcPr>
            <w:tcW w:w="57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Share capital</w:t>
            </w:r>
          </w:p>
        </w:tc>
        <w:tc>
          <w:tcPr>
            <w:tcW w:w="6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1,551</w:t>
            </w:r>
          </w:p>
        </w:tc>
        <w:tc>
          <w:tcPr>
            <w:tcW w:w="2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1,551</w:t>
            </w:r>
          </w:p>
        </w:tc>
      </w:tr>
      <w:tr>
        <w:trPr>
          <w:trHeight w:val="144"/>
        </w:trPr>
        <w:tc>
          <w:tcPr>
            <w:tcW w:w="29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68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431,133</w:t>
            </w:r>
          </w:p>
        </w:tc>
        <w:tc>
          <w:tcPr>
            <w:tcW w:w="22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431,061</w:t>
            </w:r>
          </w:p>
        </w:tc>
      </w:tr>
      <w:tr>
        <w:trPr>
          <w:trHeight w:val="144"/>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Other reserves</w:t>
            </w:r>
          </w:p>
        </w:tc>
        <w:tc>
          <w:tcPr>
            <w:tcW w:w="7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14,876</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13,292</w:t>
            </w:r>
          </w:p>
        </w:tc>
      </w:tr>
      <w:tr>
        <w:trPr>
          <w:trHeight w:val="144"/>
        </w:trPr>
        <w:tc>
          <w:tcPr>
            <w:tcW w:w="29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Foreign currency translation reserve</w:t>
            </w:r>
          </w:p>
        </w:tc>
        <w:tc>
          <w:tcPr>
            <w:tcW w:w="710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(10,954)</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(11,776)</w:t>
            </w:r>
          </w:p>
        </w:tc>
      </w:tr>
      <w:tr>
        <w:trPr>
          <w:trHeight w:val="144"/>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Accumulated deficit</w:t>
            </w:r>
          </w:p>
        </w:tc>
        <w:tc>
          <w:tcPr>
            <w:tcW w:w="57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(173,229)</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(154,425)</w:t>
            </w:r>
          </w:p>
        </w:tc>
      </w:tr>
      <w:tr>
        <w:trPr>
          <w:trHeight w:val="20"/>
        </w:trPr>
        <w:tc>
          <w:tcPr>
            <w:tcW w:w="2960" w:type="dxa"/>
            <w:vAlign w:val="bottom"/>
            <w:shd w:val="clear" w:color="auto" w:fill="CCEEFF"/>
          </w:tcPr>
          <w:p>
            <w:pPr>
              <w:spacing w:after="0" w:line="20" w:lineRule="exact"/>
              <w:rPr>
                <w:sz w:val="1"/>
                <w:szCs w:val="1"/>
                <w:color w:val="auto"/>
              </w:rPr>
            </w:pPr>
          </w:p>
        </w:tc>
        <w:tc>
          <w:tcPr>
            <w:tcW w:w="57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29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equity</w:t>
            </w:r>
          </w:p>
        </w:tc>
        <w:tc>
          <w:tcPr>
            <w:tcW w:w="57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263,377</w:t>
            </w:r>
          </w:p>
        </w:tc>
        <w:tc>
          <w:tcPr>
            <w:tcW w:w="22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279,703</w:t>
            </w:r>
          </w:p>
        </w:tc>
      </w:tr>
      <w:tr>
        <w:trPr>
          <w:trHeight w:val="182"/>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liabilities and equity</w:t>
            </w:r>
          </w:p>
        </w:tc>
        <w:tc>
          <w:tcPr>
            <w:tcW w:w="57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275,267</w:t>
            </w:r>
          </w:p>
        </w:tc>
        <w:tc>
          <w:tcPr>
            <w:tcW w:w="2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288,230</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327"/>
        </w:trPr>
        <w:tc>
          <w:tcPr>
            <w:tcW w:w="296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1300"/>
          </w:cols>
          <w:pgMar w:left="300" w:top="800" w:right="299" w:bottom="1440" w:gutter="0" w:footer="0" w:header="0"/>
        </w:sect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125855" cy="3543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125855" cy="354330"/>
                    </a:xfrm>
                    <a:prstGeom prst="rect">
                      <a:avLst/>
                    </a:prstGeom>
                    <a:noFill/>
                  </pic:spPr>
                </pic:pic>
              </a:graphicData>
            </a:graphic>
          </wp:anchor>
        </w:drawing>
      </w:r>
    </w:p>
    <w:bookmarkStart w:id="32" w:name="page33"/>
    <w:bookmarkEnd w:id="32"/>
    <w:p>
      <w:pPr>
        <w:ind w:left="9540"/>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22860"/>
                    </a:xfrm>
                    <a:prstGeom prst="rect">
                      <a:avLst/>
                    </a:prstGeom>
                    <a:noFill/>
                  </pic:spPr>
                </pic:pic>
              </a:graphicData>
            </a:graphic>
          </wp:anchor>
        </w:drawing>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111760</wp:posOffset>
            </wp:positionV>
            <wp:extent cx="7218680" cy="42976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0" w:num="1">
            <w:col w:w="10160"/>
          </w:cols>
          <w:pgMar w:left="1440" w:top="224" w:right="299" w:bottom="1440"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33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868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33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868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54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8680" cy="43548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4"/>
    </w:lvl>
  </w:abstractNum>
  <w:abstractNum w:abstractNumId="3">
    <w:nsid w:val="41B71EFB"/>
    <w:multiLevelType w:val="hybridMultilevel"/>
    <w:lvl w:ilvl="0">
      <w:lvlJc w:val="left"/>
      <w:lvlText w:val="%1."/>
      <w:numFmt w:val="decimal"/>
      <w:start w:val="9"/>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2026-05-14T06:23:32Z</dcterms:created>
  <dcterms:modified xsi:type="dcterms:W3CDTF">2026-05-14T06:23:32Z</dcterms:modified>
</cp:coreProperties>
</file>